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210D" w14:textId="55C56985" w:rsidR="00A43D6E" w:rsidRDefault="000D07EC">
      <w:pPr>
        <w:jc w:val="left"/>
        <w:rPr>
          <w:b/>
          <w:sz w:val="28"/>
        </w:rPr>
      </w:pPr>
      <w:r>
        <w:rPr>
          <w:b/>
          <w:sz w:val="28"/>
        </w:rPr>
        <w:t>RUCAS: software for assessing radiological risk to the public in metallic radioactive waste recycling from decommissioning nuclear facilities</w:t>
      </w:r>
    </w:p>
    <w:p w14:paraId="3B45210E" w14:textId="221BAE55" w:rsidR="00A43D6E" w:rsidRDefault="000D07EC">
      <w:pPr>
        <w:jc w:val="left"/>
        <w:rPr>
          <w:sz w:val="24"/>
          <w:vertAlign w:val="superscript"/>
        </w:rPr>
      </w:pPr>
      <w:proofErr w:type="spellStart"/>
      <w:r>
        <w:rPr>
          <w:sz w:val="24"/>
        </w:rPr>
        <w:t>Ugyu</w:t>
      </w:r>
      <w:proofErr w:type="spellEnd"/>
      <w:r>
        <w:rPr>
          <w:sz w:val="24"/>
        </w:rPr>
        <w:t xml:space="preserve"> Jeong</w:t>
      </w:r>
      <w:r w:rsidR="00CF6591">
        <w:rPr>
          <w:sz w:val="24"/>
          <w:vertAlign w:val="superscript"/>
        </w:rPr>
        <w:t>1</w:t>
      </w:r>
      <w:r>
        <w:rPr>
          <w:sz w:val="24"/>
        </w:rPr>
        <w:t xml:space="preserve">, </w:t>
      </w:r>
      <w:proofErr w:type="spellStart"/>
      <w:r>
        <w:rPr>
          <w:sz w:val="24"/>
        </w:rPr>
        <w:t>Hyeongjin</w:t>
      </w:r>
      <w:proofErr w:type="spellEnd"/>
      <w:r>
        <w:rPr>
          <w:sz w:val="24"/>
        </w:rPr>
        <w:t xml:space="preserve"> Byeon</w:t>
      </w:r>
      <w:r w:rsidR="00CF6591">
        <w:rPr>
          <w:sz w:val="24"/>
          <w:vertAlign w:val="superscript"/>
          <w:lang w:eastAsia="ko-KR"/>
        </w:rPr>
        <w:t>1</w:t>
      </w:r>
      <w:r w:rsidR="006141FB">
        <w:rPr>
          <w:rFonts w:hint="eastAsia"/>
          <w:sz w:val="24"/>
          <w:vertAlign w:val="superscript"/>
          <w:lang w:eastAsia="ko-KR"/>
        </w:rPr>
        <w:t>,</w:t>
      </w:r>
      <w:r w:rsidR="00CF6591">
        <w:rPr>
          <w:sz w:val="24"/>
          <w:vertAlign w:val="superscript"/>
          <w:lang w:eastAsia="ko-KR"/>
        </w:rPr>
        <w:t>2</w:t>
      </w:r>
      <w:r>
        <w:rPr>
          <w:sz w:val="24"/>
        </w:rPr>
        <w:t>, Jaeyeong Park</w:t>
      </w:r>
      <w:proofErr w:type="gramStart"/>
      <w:r w:rsidR="00CF6591">
        <w:rPr>
          <w:sz w:val="24"/>
          <w:vertAlign w:val="superscript"/>
        </w:rPr>
        <w:t>1</w:t>
      </w:r>
      <w:r>
        <w:rPr>
          <w:sz w:val="24"/>
          <w:vertAlign w:val="superscript"/>
        </w:rPr>
        <w:t>,</w:t>
      </w:r>
      <w:r>
        <w:rPr>
          <w:sz w:val="24"/>
        </w:rPr>
        <w:t>*</w:t>
      </w:r>
      <w:proofErr w:type="gramEnd"/>
    </w:p>
    <w:p w14:paraId="3B45210F" w14:textId="117F1A9D" w:rsidR="00A43D6E" w:rsidRDefault="000D07EC">
      <w:pPr>
        <w:jc w:val="left"/>
        <w:rPr>
          <w:sz w:val="24"/>
        </w:rPr>
      </w:pPr>
      <w:r>
        <w:rPr>
          <w:sz w:val="24"/>
          <w:vertAlign w:val="superscript"/>
        </w:rPr>
        <w:t>1</w:t>
      </w:r>
      <w:r w:rsidR="00EB3CA0">
        <w:rPr>
          <w:sz w:val="24"/>
        </w:rPr>
        <w:t xml:space="preserve"> </w:t>
      </w:r>
      <w:bookmarkStart w:id="0" w:name="_Hlk183421707"/>
      <w:r w:rsidR="00EB3CA0">
        <w:rPr>
          <w:sz w:val="24"/>
        </w:rPr>
        <w:t>School of Nuclear Engineering, Ulsan National Institute of Science and Technology, 50 UNIST-</w:t>
      </w:r>
      <w:proofErr w:type="spellStart"/>
      <w:r w:rsidR="00EB3CA0">
        <w:rPr>
          <w:sz w:val="24"/>
        </w:rPr>
        <w:t>gil</w:t>
      </w:r>
      <w:proofErr w:type="spellEnd"/>
      <w:r w:rsidR="00EB3CA0">
        <w:rPr>
          <w:sz w:val="24"/>
        </w:rPr>
        <w:t>, Ulsan 44919, Republic of Korea</w:t>
      </w:r>
      <w:bookmarkEnd w:id="0"/>
    </w:p>
    <w:p w14:paraId="1FCB4DE4" w14:textId="00393B6C" w:rsidR="00871CC5" w:rsidRDefault="00CF6591">
      <w:pPr>
        <w:jc w:val="left"/>
        <w:rPr>
          <w:sz w:val="24"/>
          <w:lang w:eastAsia="ko-KR"/>
        </w:rPr>
      </w:pPr>
      <w:r>
        <w:rPr>
          <w:sz w:val="24"/>
          <w:vertAlign w:val="superscript"/>
          <w:lang w:eastAsia="ko-KR"/>
        </w:rPr>
        <w:t>2</w:t>
      </w:r>
      <w:r>
        <w:rPr>
          <w:rFonts w:hint="eastAsia"/>
          <w:sz w:val="24"/>
          <w:vertAlign w:val="superscript"/>
          <w:lang w:eastAsia="ko-KR"/>
        </w:rPr>
        <w:t xml:space="preserve"> </w:t>
      </w:r>
      <w:r w:rsidR="00885203">
        <w:rPr>
          <w:rFonts w:hint="eastAsia"/>
          <w:sz w:val="24"/>
          <w:lang w:eastAsia="ko-KR"/>
        </w:rPr>
        <w:t xml:space="preserve">Korea Atomic Energy Research Institute, </w:t>
      </w:r>
      <w:r w:rsidR="00045206">
        <w:rPr>
          <w:rFonts w:hint="eastAsia"/>
          <w:sz w:val="24"/>
          <w:lang w:eastAsia="ko-KR"/>
        </w:rPr>
        <w:t xml:space="preserve">989-111 </w:t>
      </w:r>
      <w:proofErr w:type="spellStart"/>
      <w:r w:rsidR="00045206">
        <w:rPr>
          <w:rFonts w:hint="eastAsia"/>
          <w:sz w:val="24"/>
          <w:lang w:eastAsia="ko-KR"/>
        </w:rPr>
        <w:t>Daedeok-daero</w:t>
      </w:r>
      <w:proofErr w:type="spellEnd"/>
      <w:r w:rsidR="00045206">
        <w:rPr>
          <w:rFonts w:hint="eastAsia"/>
          <w:sz w:val="24"/>
          <w:lang w:eastAsia="ko-KR"/>
        </w:rPr>
        <w:t xml:space="preserve">, </w:t>
      </w:r>
      <w:proofErr w:type="spellStart"/>
      <w:r w:rsidR="00045206">
        <w:rPr>
          <w:rFonts w:hint="eastAsia"/>
          <w:sz w:val="24"/>
          <w:lang w:eastAsia="ko-KR"/>
        </w:rPr>
        <w:t>Yuseong-gu</w:t>
      </w:r>
      <w:proofErr w:type="spellEnd"/>
      <w:r w:rsidR="00045206">
        <w:rPr>
          <w:rFonts w:hint="eastAsia"/>
          <w:sz w:val="24"/>
          <w:lang w:eastAsia="ko-KR"/>
        </w:rPr>
        <w:t>, Daejeon 34057, Republic of Korea</w:t>
      </w:r>
    </w:p>
    <w:p w14:paraId="3B452110" w14:textId="77777777" w:rsidR="00A43D6E" w:rsidRDefault="00A43D6E">
      <w:pPr>
        <w:jc w:val="left"/>
        <w:rPr>
          <w:sz w:val="24"/>
        </w:rPr>
      </w:pPr>
    </w:p>
    <w:p w14:paraId="3B452111" w14:textId="77777777" w:rsidR="00A43D6E" w:rsidRDefault="000D07EC">
      <w:pPr>
        <w:jc w:val="left"/>
        <w:rPr>
          <w:b/>
          <w:sz w:val="24"/>
        </w:rPr>
      </w:pPr>
      <w:r>
        <w:rPr>
          <w:b/>
          <w:sz w:val="24"/>
        </w:rPr>
        <w:t>*Corresponding author</w:t>
      </w:r>
    </w:p>
    <w:p w14:paraId="3B452112" w14:textId="167640B9" w:rsidR="00A43D6E" w:rsidRDefault="000D07EC">
      <w:pPr>
        <w:jc w:val="left"/>
        <w:rPr>
          <w:sz w:val="24"/>
        </w:rPr>
      </w:pPr>
      <w:r>
        <w:rPr>
          <w:sz w:val="24"/>
        </w:rPr>
        <w:t>Jaeyeong Park</w:t>
      </w:r>
    </w:p>
    <w:p w14:paraId="519DA4F7" w14:textId="4FC6A4FC" w:rsidR="00776937" w:rsidRDefault="000D07EC">
      <w:pPr>
        <w:jc w:val="left"/>
        <w:rPr>
          <w:sz w:val="24"/>
          <w:lang w:eastAsia="ko-KR"/>
        </w:rPr>
      </w:pPr>
      <w:r>
        <w:rPr>
          <w:sz w:val="24"/>
        </w:rPr>
        <w:t>Address</w:t>
      </w:r>
      <w:r w:rsidR="00CB70A4">
        <w:rPr>
          <w:rFonts w:hint="eastAsia"/>
          <w:sz w:val="24"/>
          <w:lang w:eastAsia="ko-KR"/>
        </w:rPr>
        <w:t xml:space="preserve">: </w:t>
      </w:r>
      <w:r w:rsidR="00587BAE">
        <w:rPr>
          <w:sz w:val="24"/>
        </w:rPr>
        <w:t>School of Nuclear Engineering, Ulsan National Institute of Science and Technology, 50 UNIST-</w:t>
      </w:r>
      <w:proofErr w:type="spellStart"/>
      <w:r w:rsidR="00587BAE">
        <w:rPr>
          <w:sz w:val="24"/>
        </w:rPr>
        <w:t>gil</w:t>
      </w:r>
      <w:proofErr w:type="spellEnd"/>
      <w:r w:rsidR="00587BAE">
        <w:rPr>
          <w:sz w:val="24"/>
        </w:rPr>
        <w:t>, Ulsan 44919, Republic of Korea</w:t>
      </w:r>
    </w:p>
    <w:p w14:paraId="5386BFBC" w14:textId="238D0901" w:rsidR="00587BAE" w:rsidRDefault="000D07EC">
      <w:pPr>
        <w:jc w:val="left"/>
        <w:rPr>
          <w:sz w:val="24"/>
          <w:lang w:eastAsia="ko-KR"/>
        </w:rPr>
      </w:pPr>
      <w:r>
        <w:rPr>
          <w:sz w:val="24"/>
        </w:rPr>
        <w:t>Phone number</w:t>
      </w:r>
      <w:r w:rsidR="00CB70A4">
        <w:rPr>
          <w:rFonts w:hint="eastAsia"/>
          <w:sz w:val="24"/>
          <w:lang w:eastAsia="ko-KR"/>
        </w:rPr>
        <w:t>: +82 10-8778-2557</w:t>
      </w:r>
    </w:p>
    <w:p w14:paraId="3B452113" w14:textId="77777777" w:rsidR="00A43D6E" w:rsidRDefault="000D07EC">
      <w:pPr>
        <w:jc w:val="left"/>
        <w:rPr>
          <w:sz w:val="24"/>
        </w:rPr>
      </w:pPr>
      <w:r>
        <w:rPr>
          <w:sz w:val="24"/>
        </w:rPr>
        <w:t xml:space="preserve">E-mail address: </w:t>
      </w:r>
      <w:hyperlink r:id="rId8" w:history="1">
        <w:r w:rsidR="00A43D6E">
          <w:rPr>
            <w:rStyle w:val="a8"/>
            <w:sz w:val="24"/>
          </w:rPr>
          <w:t>jypark@unist.ac.kr</w:t>
        </w:r>
      </w:hyperlink>
    </w:p>
    <w:p w14:paraId="71523991" w14:textId="718C6F3E" w:rsidR="009D21B4" w:rsidRPr="009D21B4" w:rsidRDefault="009D21B4">
      <w:pPr>
        <w:widowControl/>
        <w:spacing w:line="480" w:lineRule="auto"/>
        <w:jc w:val="left"/>
        <w:rPr>
          <w:b/>
          <w:sz w:val="24"/>
          <w:lang w:eastAsia="ko-KR"/>
        </w:rPr>
      </w:pPr>
    </w:p>
    <w:p w14:paraId="5F8C13DA" w14:textId="77777777" w:rsidR="00402749" w:rsidRDefault="000D07EC">
      <w:pPr>
        <w:widowControl/>
        <w:spacing w:after="0" w:line="240" w:lineRule="auto"/>
        <w:jc w:val="left"/>
        <w:rPr>
          <w:b/>
          <w:sz w:val="24"/>
        </w:rPr>
      </w:pPr>
      <w:r>
        <w:rPr>
          <w:b/>
          <w:sz w:val="24"/>
        </w:rPr>
        <w:br w:type="page"/>
      </w:r>
    </w:p>
    <w:p w14:paraId="3B452117" w14:textId="4C0C62DF" w:rsidR="00A43D6E" w:rsidRDefault="000D07EC">
      <w:pPr>
        <w:widowControl/>
        <w:spacing w:line="480" w:lineRule="auto"/>
        <w:jc w:val="left"/>
        <w:rPr>
          <w:b/>
          <w:sz w:val="24"/>
        </w:rPr>
      </w:pPr>
      <w:r>
        <w:rPr>
          <w:b/>
          <w:sz w:val="24"/>
        </w:rPr>
        <w:lastRenderedPageBreak/>
        <w:t>Abstract</w:t>
      </w:r>
    </w:p>
    <w:p w14:paraId="3B452119" w14:textId="77777777" w:rsidR="00A43D6E" w:rsidRDefault="000D07EC">
      <w:pPr>
        <w:widowControl/>
        <w:spacing w:line="480" w:lineRule="auto"/>
        <w:jc w:val="left"/>
        <w:rPr>
          <w:sz w:val="24"/>
        </w:rPr>
      </w:pPr>
      <w:r>
        <w:rPr>
          <w:rFonts w:hint="eastAsia"/>
          <w:sz w:val="24"/>
          <w:lang w:eastAsia="ko-KR"/>
        </w:rPr>
        <w:t>Deregulation of</w:t>
      </w:r>
      <w:r w:rsidR="00F33CE8">
        <w:rPr>
          <w:sz w:val="24"/>
        </w:rPr>
        <w:t xml:space="preserve"> the resultant radioactive waste from the increasing decommissioning of nuclear facilities worldwide has become crucial </w:t>
      </w:r>
      <w:r w:rsidR="007948B0" w:rsidRPr="007948B0">
        <w:rPr>
          <w:sz w:val="24"/>
          <w:lang w:eastAsia="ko-KR"/>
        </w:rPr>
        <w:t>for</w:t>
      </w:r>
      <w:r w:rsidR="00F33CE8">
        <w:rPr>
          <w:sz w:val="24"/>
        </w:rPr>
        <w:t xml:space="preserve"> accurately </w:t>
      </w:r>
      <w:r w:rsidR="007948B0" w:rsidRPr="007948B0">
        <w:rPr>
          <w:sz w:val="24"/>
          <w:lang w:eastAsia="ko-KR"/>
        </w:rPr>
        <w:t>estimating</w:t>
      </w:r>
      <w:r w:rsidR="00F33CE8">
        <w:rPr>
          <w:sz w:val="24"/>
        </w:rPr>
        <w:t xml:space="preserve"> potential radiological risks to the public. This study introduces the Recycling-Underlying Computational Dose Assessment Software (RUCAS), developed by the Ulsan National Institute of Science and Technology (UNIST) in the Republic of Korea. RUCAS addresses the limitations of existing tools, such as RESRAD-RECYCLE and </w:t>
      </w:r>
      <w:proofErr w:type="spellStart"/>
      <w:r w:rsidR="00F33CE8">
        <w:rPr>
          <w:sz w:val="24"/>
        </w:rPr>
        <w:t>MicroShield</w:t>
      </w:r>
      <w:proofErr w:type="spellEnd"/>
      <w:r w:rsidR="00F33CE8" w:rsidRPr="007948B0">
        <w:rPr>
          <w:sz w:val="24"/>
        </w:rPr>
        <w:t>®</w:t>
      </w:r>
      <w:r w:rsidR="00F33CE8">
        <w:rPr>
          <w:sz w:val="24"/>
        </w:rPr>
        <w:t xml:space="preserve"> (MS), which suffer from outdated methodologies and inefficient risk assessments, respectively, </w:t>
      </w:r>
      <w:r w:rsidR="007948B0" w:rsidRPr="007948B0">
        <w:rPr>
          <w:sz w:val="24"/>
          <w:lang w:eastAsia="ko-KR"/>
        </w:rPr>
        <w:t>while integrating</w:t>
      </w:r>
      <w:r w:rsidR="00F33CE8">
        <w:rPr>
          <w:sz w:val="24"/>
        </w:rPr>
        <w:t xml:space="preserve"> their strengths. By incorporating the latest data, </w:t>
      </w:r>
      <w:r w:rsidR="007948B0" w:rsidRPr="007948B0">
        <w:rPr>
          <w:sz w:val="24"/>
          <w:lang w:eastAsia="ko-KR"/>
        </w:rPr>
        <w:t>including</w:t>
      </w:r>
      <w:r w:rsidR="00F33CE8">
        <w:rPr>
          <w:sz w:val="24"/>
        </w:rPr>
        <w:t xml:space="preserve"> dose conversion </w:t>
      </w:r>
      <w:r w:rsidR="007948B0" w:rsidRPr="007948B0">
        <w:rPr>
          <w:sz w:val="24"/>
          <w:lang w:eastAsia="ko-KR"/>
        </w:rPr>
        <w:t>factors</w:t>
      </w:r>
      <w:r w:rsidR="00F33CE8">
        <w:rPr>
          <w:sz w:val="24"/>
        </w:rPr>
        <w:t xml:space="preserve"> and nuclide data, as well as</w:t>
      </w:r>
      <w:r w:rsidR="007948B0" w:rsidRPr="007948B0">
        <w:rPr>
          <w:sz w:val="24"/>
          <w:lang w:eastAsia="ko-KR"/>
        </w:rPr>
        <w:t xml:space="preserve"> employing</w:t>
      </w:r>
      <w:r w:rsidR="00F33CE8">
        <w:rPr>
          <w:sz w:val="24"/>
        </w:rPr>
        <w:t xml:space="preserve"> the point-kernel method, RUCAS offers a more accurate, robust, and versatile dose assessment framework compared to currently available tools. The advancements made with RUCAS signify substantial progress in developing safer and more feasible recycling strategies for radioactive waste.</w:t>
      </w:r>
    </w:p>
    <w:p w14:paraId="3003B2FF" w14:textId="77777777" w:rsidR="009C6685" w:rsidRDefault="009C6685">
      <w:pPr>
        <w:widowControl/>
        <w:spacing w:line="480" w:lineRule="auto"/>
        <w:jc w:val="left"/>
        <w:rPr>
          <w:sz w:val="24"/>
        </w:rPr>
      </w:pPr>
    </w:p>
    <w:p w14:paraId="3B45211A" w14:textId="77777777" w:rsidR="00A43D6E" w:rsidRDefault="000D07EC">
      <w:pPr>
        <w:widowControl/>
        <w:spacing w:line="480" w:lineRule="auto"/>
        <w:jc w:val="left"/>
        <w:rPr>
          <w:b/>
          <w:sz w:val="24"/>
        </w:rPr>
      </w:pPr>
      <w:r w:rsidRPr="00D51345">
        <w:rPr>
          <w:b/>
          <w:sz w:val="24"/>
        </w:rPr>
        <w:t>Keywords:</w:t>
      </w:r>
      <w:r>
        <w:rPr>
          <w:b/>
          <w:sz w:val="24"/>
        </w:rPr>
        <w:t xml:space="preserve"> </w:t>
      </w:r>
      <w:r>
        <w:rPr>
          <w:sz w:val="24"/>
        </w:rPr>
        <w:t>Assessment framework, Decommissioning, Recycling, Radiation protection, Safe disposal, Dose evaluation software</w:t>
      </w:r>
    </w:p>
    <w:p w14:paraId="3B45211B" w14:textId="77777777" w:rsidR="00A43D6E" w:rsidRDefault="000D07EC">
      <w:pPr>
        <w:widowControl/>
        <w:jc w:val="left"/>
        <w:rPr>
          <w:sz w:val="24"/>
        </w:rPr>
      </w:pPr>
      <w:r>
        <w:rPr>
          <w:sz w:val="24"/>
        </w:rPr>
        <w:br w:type="page"/>
      </w:r>
    </w:p>
    <w:p w14:paraId="3B45211C" w14:textId="176B3F6E" w:rsidR="00A43D6E" w:rsidRDefault="000D07EC">
      <w:pPr>
        <w:widowControl/>
        <w:spacing w:line="480" w:lineRule="auto"/>
        <w:jc w:val="left"/>
        <w:rPr>
          <w:b/>
          <w:sz w:val="24"/>
        </w:rPr>
      </w:pPr>
      <w:r>
        <w:rPr>
          <w:b/>
          <w:sz w:val="24"/>
        </w:rPr>
        <w:lastRenderedPageBreak/>
        <w:t>1. Introduction</w:t>
      </w:r>
      <w:r>
        <w:rPr>
          <w:rStyle w:val="a6"/>
          <w:b/>
          <w:vanish/>
          <w:sz w:val="24"/>
        </w:rPr>
        <w:footnoteReference w:id="2"/>
      </w:r>
    </w:p>
    <w:p w14:paraId="3B45211D" w14:textId="046390D4" w:rsidR="00A43D6E" w:rsidRDefault="000D07EC">
      <w:pPr>
        <w:widowControl/>
        <w:spacing w:after="200" w:line="480" w:lineRule="auto"/>
        <w:ind w:firstLine="480"/>
        <w:jc w:val="left"/>
        <w:rPr>
          <w:color w:val="000000"/>
          <w:sz w:val="24"/>
        </w:rPr>
      </w:pPr>
      <w:r>
        <w:rPr>
          <w:color w:val="000000"/>
          <w:sz w:val="24"/>
        </w:rPr>
        <w:t xml:space="preserve">The growing global inventory of nuclear facilities requiring decommissioning has prompted active research to manage the resultant radioactive waste </w:t>
      </w:r>
      <w:r w:rsidR="0009710B">
        <w:rPr>
          <w:color w:val="000000"/>
          <w:sz w:val="24"/>
        </w:rPr>
        <w:t>[1-6]</w:t>
      </w:r>
      <w:r>
        <w:rPr>
          <w:color w:val="000000"/>
          <w:sz w:val="24"/>
        </w:rPr>
        <w:t>. The International Atomic Energy Agency (IAEA) reports that 204 reactors have been permanently shut down, and 154 reactors are currently undergoing decommissioning, with these numbers steadily increasing</w:t>
      </w:r>
      <w:r w:rsidRPr="007948B0">
        <w:rPr>
          <w:color w:val="000000"/>
          <w:sz w:val="24"/>
        </w:rPr>
        <w:t xml:space="preserve"> </w:t>
      </w:r>
      <w:r w:rsidR="0009710B">
        <w:rPr>
          <w:color w:val="000000"/>
          <w:sz w:val="24"/>
        </w:rPr>
        <w:t>[7]</w:t>
      </w:r>
      <w:r w:rsidRPr="007948B0">
        <w:rPr>
          <w:color w:val="000000"/>
          <w:sz w:val="24"/>
        </w:rPr>
        <w:t xml:space="preserve">. A single pressurized water reactor, with a capacity of 900–1,300 </w:t>
      </w:r>
      <w:r w:rsidR="007948B0" w:rsidRPr="007948B0">
        <w:rPr>
          <w:color w:val="000000"/>
          <w:sz w:val="24"/>
        </w:rPr>
        <w:t>MWe</w:t>
      </w:r>
      <w:r w:rsidRPr="007948B0">
        <w:rPr>
          <w:color w:val="000000"/>
          <w:sz w:val="24"/>
        </w:rPr>
        <w:t xml:space="preserve">, can generate </w:t>
      </w:r>
      <w:r>
        <w:rPr>
          <w:color w:val="000000"/>
          <w:sz w:val="24"/>
        </w:rPr>
        <w:t>6,200 tons of radioactive waste upon decommissioning</w:t>
      </w:r>
      <w:r w:rsidRPr="007948B0">
        <w:rPr>
          <w:color w:val="000000"/>
          <w:sz w:val="24"/>
        </w:rPr>
        <w:t xml:space="preserve"> </w:t>
      </w:r>
      <w:r w:rsidR="0009710B">
        <w:rPr>
          <w:color w:val="000000"/>
          <w:sz w:val="24"/>
        </w:rPr>
        <w:t>[8]</w:t>
      </w:r>
      <w:r w:rsidRPr="007948B0">
        <w:rPr>
          <w:color w:val="000000"/>
          <w:sz w:val="24"/>
        </w:rPr>
        <w:t>.</w:t>
      </w:r>
      <w:r w:rsidR="00BD4066" w:rsidRPr="007948B0">
        <w:rPr>
          <w:color w:val="000000"/>
          <w:sz w:val="24"/>
        </w:rPr>
        <w:t xml:space="preserve"> </w:t>
      </w:r>
      <w:r>
        <w:rPr>
          <w:color w:val="000000"/>
          <w:sz w:val="24"/>
        </w:rPr>
        <w:t>Waste management of this nature and capacity transcends sheer volume handling to include addressing the substantial decommissioning costs, which can run into tens of millions of dollars. Among the waste, metallic radioactive materials characterized by low levels of radioactivity amount to 4,150 tons, representing 67% of the total decommissioning waste</w:t>
      </w:r>
      <w:r w:rsidR="0009710B">
        <w:rPr>
          <w:color w:val="000000"/>
          <w:sz w:val="24"/>
        </w:rPr>
        <w:t xml:space="preserve"> [9]</w:t>
      </w:r>
      <w:r>
        <w:rPr>
          <w:color w:val="000000"/>
          <w:sz w:val="24"/>
        </w:rPr>
        <w:t>.</w:t>
      </w:r>
      <w:r w:rsidRPr="007948B0">
        <w:rPr>
          <w:color w:val="000000"/>
          <w:sz w:val="24"/>
        </w:rPr>
        <w:t xml:space="preserve"> </w:t>
      </w:r>
      <w:r>
        <w:rPr>
          <w:color w:val="000000"/>
          <w:sz w:val="24"/>
        </w:rPr>
        <w:t>These materials, classified as very-low-level waste (VLLW), hold economic value owing to their potential for recycling and reusability. Implementing clearance or deregulation strategies for recycling metallic VLLW mitigates the volume of decommissioning waste and enhances the efficiency of existing disposal facilities.</w:t>
      </w:r>
    </w:p>
    <w:p w14:paraId="3B45211E" w14:textId="5B8B683E" w:rsidR="00A43D6E" w:rsidRDefault="000D07EC">
      <w:pPr>
        <w:widowControl/>
        <w:spacing w:after="200" w:line="480" w:lineRule="auto"/>
        <w:ind w:firstLine="480"/>
        <w:jc w:val="left"/>
        <w:rPr>
          <w:color w:val="000000"/>
          <w:sz w:val="24"/>
        </w:rPr>
      </w:pPr>
      <w:r>
        <w:rPr>
          <w:color w:val="000000"/>
          <w:sz w:val="24"/>
        </w:rPr>
        <w:t>The IAEA classifies waste with an estimated radiological risk of under 10 µ</w:t>
      </w:r>
      <w:proofErr w:type="spellStart"/>
      <w:r>
        <w:rPr>
          <w:color w:val="000000"/>
          <w:sz w:val="24"/>
        </w:rPr>
        <w:t>Sv</w:t>
      </w:r>
      <w:proofErr w:type="spellEnd"/>
      <w:r>
        <w:rPr>
          <w:color w:val="000000"/>
          <w:sz w:val="24"/>
        </w:rPr>
        <w:t xml:space="preserve"> per year, in expected post-clearance scenarios, as </w:t>
      </w:r>
      <w:r w:rsidRPr="007948B0">
        <w:rPr>
          <w:color w:val="000000"/>
          <w:sz w:val="24"/>
        </w:rPr>
        <w:t xml:space="preserve">exempt waste </w:t>
      </w:r>
      <w:r w:rsidR="0009710B">
        <w:rPr>
          <w:color w:val="000000"/>
          <w:sz w:val="24"/>
        </w:rPr>
        <w:t>[10]</w:t>
      </w:r>
      <w:r>
        <w:rPr>
          <w:color w:val="000000"/>
          <w:sz w:val="24"/>
        </w:rPr>
        <w:t xml:space="preserve">, which is acceptable for unrestricted use in various ways, including reuse, recycling, and landfill. In recycling, workers and consumers of recycled-content products are at high risk of exposure to radioactive sources through direct handling or absorption of emitted particulates through respiration or ingestion. Therefore, scenarios considering various recycling situations should be established to ensure the safe </w:t>
      </w:r>
      <w:r>
        <w:rPr>
          <w:color w:val="000000"/>
          <w:sz w:val="24"/>
        </w:rPr>
        <w:lastRenderedPageBreak/>
        <w:t xml:space="preserve">clearance or deregulation of radioactive waste, and the radiation risks associated with these scenarios should be accurately assessed. In response, international organizations, including the IAEA, </w:t>
      </w:r>
      <w:r w:rsidR="007948B0" w:rsidRPr="007948B0">
        <w:rPr>
          <w:color w:val="000000"/>
          <w:sz w:val="24"/>
        </w:rPr>
        <w:t xml:space="preserve">the </w:t>
      </w:r>
      <w:r>
        <w:rPr>
          <w:color w:val="000000"/>
          <w:sz w:val="24"/>
        </w:rPr>
        <w:t>US Nuclear Regulatory Commission, and</w:t>
      </w:r>
      <w:r w:rsidR="007948B0" w:rsidRPr="007948B0">
        <w:rPr>
          <w:color w:val="000000"/>
          <w:sz w:val="24"/>
        </w:rPr>
        <w:t xml:space="preserve"> the</w:t>
      </w:r>
      <w:r>
        <w:rPr>
          <w:color w:val="000000"/>
          <w:sz w:val="24"/>
        </w:rPr>
        <w:t xml:space="preserve"> European Commission, have advocated for specific recycling scenarios for radioactive waste</w:t>
      </w:r>
      <w:r w:rsidRPr="007948B0">
        <w:rPr>
          <w:color w:val="000000"/>
          <w:sz w:val="24"/>
        </w:rPr>
        <w:t xml:space="preserve"> </w:t>
      </w:r>
      <w:r w:rsidR="0009710B">
        <w:rPr>
          <w:color w:val="000000"/>
          <w:sz w:val="24"/>
        </w:rPr>
        <w:t>[11-14]</w:t>
      </w:r>
      <w:r w:rsidRPr="007948B0">
        <w:rPr>
          <w:color w:val="000000"/>
          <w:sz w:val="24"/>
        </w:rPr>
        <w:t xml:space="preserve">. </w:t>
      </w:r>
      <w:r>
        <w:rPr>
          <w:color w:val="000000"/>
          <w:sz w:val="24"/>
        </w:rPr>
        <w:t>Nonetheless, the disparity in assessment methodologies and data among these organizations introduces significant uncertainty regarding radiological risks. This emphasizes the need to develop advanced risk assessment software that integrates and validates diverse recycling scenarios, thereby enhancing radiation protection and optimizing decommissioning costs.</w:t>
      </w:r>
    </w:p>
    <w:p w14:paraId="3B45211F" w14:textId="6FDD7C1E" w:rsidR="00A43D6E" w:rsidRDefault="000D07EC">
      <w:pPr>
        <w:widowControl/>
        <w:spacing w:after="200" w:line="480" w:lineRule="auto"/>
        <w:ind w:firstLine="480"/>
        <w:jc w:val="left"/>
        <w:rPr>
          <w:color w:val="000000"/>
          <w:sz w:val="24"/>
        </w:rPr>
      </w:pPr>
      <w:r>
        <w:rPr>
          <w:color w:val="000000"/>
          <w:sz w:val="24"/>
        </w:rPr>
        <w:t xml:space="preserve">RESRAD-RECYCLE is the conventional dose assessment software for recycling radioactive scrap, developed by Argonne National Laboratory (ANL) </w:t>
      </w:r>
      <w:r w:rsidR="0009710B">
        <w:rPr>
          <w:color w:val="000000"/>
          <w:sz w:val="24"/>
        </w:rPr>
        <w:t>[15]</w:t>
      </w:r>
      <w:r>
        <w:rPr>
          <w:color w:val="000000"/>
          <w:sz w:val="24"/>
        </w:rPr>
        <w:t xml:space="preserve">. However, since its last update in 2005, crucial components such as recycling scenarios, dose assessment methodologies, and libraries have not been maintained </w:t>
      </w:r>
      <w:r w:rsidR="0009710B">
        <w:rPr>
          <w:color w:val="000000"/>
          <w:sz w:val="24"/>
        </w:rPr>
        <w:t>[16-18]</w:t>
      </w:r>
      <w:r>
        <w:rPr>
          <w:color w:val="000000"/>
          <w:sz w:val="24"/>
        </w:rPr>
        <w:t>.</w:t>
      </w:r>
      <w:r w:rsidRPr="007948B0">
        <w:rPr>
          <w:color w:val="000000"/>
          <w:sz w:val="24"/>
        </w:rPr>
        <w:t xml:space="preserve"> </w:t>
      </w:r>
      <w:r>
        <w:rPr>
          <w:color w:val="000000"/>
          <w:sz w:val="24"/>
        </w:rPr>
        <w:t xml:space="preserve">A notable limitation of RESRAD-RECYCLE is its sole focus on cylindrical source geometry recycling scenarios, which fails to account for varied geometric configurations, potentially compromising the accuracy and reliability of dose assessments in real-world recycling processes. Currently, tools such as </w:t>
      </w:r>
      <w:proofErr w:type="spellStart"/>
      <w:r>
        <w:rPr>
          <w:color w:val="000000"/>
          <w:sz w:val="24"/>
        </w:rPr>
        <w:t>MicroShield</w:t>
      </w:r>
      <w:proofErr w:type="spellEnd"/>
      <w:r w:rsidRPr="007948B0">
        <w:rPr>
          <w:color w:val="000000"/>
          <w:sz w:val="24"/>
        </w:rPr>
        <w:t xml:space="preserve">® </w:t>
      </w:r>
      <w:r>
        <w:rPr>
          <w:color w:val="000000"/>
          <w:sz w:val="24"/>
        </w:rPr>
        <w:t>(MS) and VISIPLAN 3D ALARA (VISIPLAN) are also utilized for dose assessment in recycling scenarios</w:t>
      </w:r>
      <w:r w:rsidRPr="007948B0">
        <w:rPr>
          <w:color w:val="000000"/>
          <w:sz w:val="24"/>
        </w:rPr>
        <w:t xml:space="preserve"> </w:t>
      </w:r>
      <w:r w:rsidR="0009710B">
        <w:rPr>
          <w:color w:val="000000"/>
          <w:sz w:val="24"/>
        </w:rPr>
        <w:t>[19,5]</w:t>
      </w:r>
      <w:r w:rsidRPr="007948B0">
        <w:rPr>
          <w:color w:val="000000"/>
          <w:sz w:val="24"/>
        </w:rPr>
        <w:t xml:space="preserve">. </w:t>
      </w:r>
      <w:r>
        <w:rPr>
          <w:color w:val="000000"/>
          <w:sz w:val="24"/>
        </w:rPr>
        <w:t>However, they are limited to evaluating only the external radiation dose associated with a specific scenario</w:t>
      </w:r>
      <w:r w:rsidRPr="007948B0">
        <w:rPr>
          <w:color w:val="000000"/>
          <w:sz w:val="24"/>
        </w:rPr>
        <w:t xml:space="preserve"> </w:t>
      </w:r>
      <w:r w:rsidR="0009710B">
        <w:rPr>
          <w:color w:val="000000"/>
          <w:sz w:val="24"/>
        </w:rPr>
        <w:t>[20,21]</w:t>
      </w:r>
      <w:r w:rsidRPr="007948B0">
        <w:rPr>
          <w:color w:val="000000"/>
          <w:sz w:val="24"/>
        </w:rPr>
        <w:t xml:space="preserve">. </w:t>
      </w:r>
      <w:r>
        <w:rPr>
          <w:color w:val="000000"/>
          <w:sz w:val="24"/>
        </w:rPr>
        <w:t>This limitation implies that MS and VISIPLAN are unsuitable for a comprehensive risk assessment of recycling flows, necessitating the consideration of multiple pathways, external and internal radiation, and variability of source phase throughout the process. Therefore, advanced software that can accurately assess the transformation flow of scrap through the recycling process is crucial.</w:t>
      </w:r>
    </w:p>
    <w:p w14:paraId="3B452121" w14:textId="77777777" w:rsidR="00A43D6E" w:rsidRDefault="000D07EC" w:rsidP="00D51345">
      <w:pPr>
        <w:widowControl/>
        <w:spacing w:after="200" w:line="480" w:lineRule="auto"/>
        <w:ind w:firstLine="480"/>
        <w:jc w:val="left"/>
        <w:rPr>
          <w:color w:val="000000"/>
          <w:sz w:val="24"/>
        </w:rPr>
      </w:pPr>
      <w:r>
        <w:rPr>
          <w:color w:val="000000"/>
          <w:sz w:val="24"/>
        </w:rPr>
        <w:lastRenderedPageBreak/>
        <w:t xml:space="preserve">The </w:t>
      </w:r>
      <w:r w:rsidRPr="007948B0">
        <w:rPr>
          <w:color w:val="000000"/>
          <w:sz w:val="24"/>
        </w:rPr>
        <w:t>Recycling-Underlying Computational Dose Assessment Software</w:t>
      </w:r>
      <w:r>
        <w:rPr>
          <w:color w:val="000000"/>
          <w:sz w:val="24"/>
        </w:rPr>
        <w:t xml:space="preserve"> (RUCAS) was developed by the Ulsan National Institute of Science and Technology (UNIST) in the Republic of Korea to overcome the limitations of the existing dose assessment tools for recycling scenarios. It offers a comprehensive evaluation of radiological risks throughout the recycling process, from the generation of radioactive scrap to the final use of the end products. This software incorporates the latest data, methodologies, and recycling scenarios to provide a robust assessment framework </w:t>
      </w:r>
      <w:r w:rsidR="00DF0D79">
        <w:rPr>
          <w:color w:val="000000"/>
          <w:sz w:val="24"/>
        </w:rPr>
        <w:t>[22-24]</w:t>
      </w:r>
      <w:r>
        <w:rPr>
          <w:color w:val="000000"/>
          <w:sz w:val="24"/>
        </w:rPr>
        <w:t>. This study presents benchmarks designed to validate the enhanced dose assessment capabilities of RUCAS and compares its performance with those of conventional tools. Notably, RUCAS achieved greater accuracy in calculating the shielding effect than RESRAD-RECYCLE. Additionally, comparisons with MS confirmed that RUCAS successfully integrates the latest dose assessment methodology. The validation of these advancements positions RUCAS as a leading tool in the field, setting a new standard for recycling radioactive scrap. The enhanced features of RUCAS are expected to significantly contribute to developing safer and more effective recycling plans for radioactive waste generated during decommissioning.</w:t>
      </w:r>
    </w:p>
    <w:p w14:paraId="31AA69AA" w14:textId="77777777" w:rsidR="001F2E76" w:rsidRDefault="000D07EC">
      <w:pPr>
        <w:widowControl/>
        <w:spacing w:after="0" w:line="240" w:lineRule="auto"/>
        <w:jc w:val="left"/>
        <w:rPr>
          <w:b/>
          <w:sz w:val="24"/>
        </w:rPr>
      </w:pPr>
      <w:r>
        <w:rPr>
          <w:b/>
          <w:sz w:val="24"/>
        </w:rPr>
        <w:br w:type="page"/>
      </w:r>
    </w:p>
    <w:p w14:paraId="3B452122" w14:textId="5F78A04C" w:rsidR="00A43D6E" w:rsidRDefault="000D07EC">
      <w:pPr>
        <w:widowControl/>
        <w:spacing w:line="480" w:lineRule="auto"/>
        <w:jc w:val="left"/>
        <w:rPr>
          <w:b/>
          <w:sz w:val="24"/>
        </w:rPr>
      </w:pPr>
      <w:r>
        <w:rPr>
          <w:b/>
          <w:sz w:val="24"/>
        </w:rPr>
        <w:lastRenderedPageBreak/>
        <w:t>2. Methods</w:t>
      </w:r>
    </w:p>
    <w:p w14:paraId="3B452123" w14:textId="77777777" w:rsidR="00A43D6E" w:rsidRPr="00D51345" w:rsidRDefault="000D07EC">
      <w:pPr>
        <w:pStyle w:val="a9"/>
        <w:numPr>
          <w:ilvl w:val="1"/>
          <w:numId w:val="21"/>
        </w:numPr>
        <w:spacing w:after="200" w:line="480" w:lineRule="auto"/>
        <w:jc w:val="left"/>
        <w:rPr>
          <w:b/>
          <w:i/>
          <w:sz w:val="24"/>
        </w:rPr>
      </w:pPr>
      <w:r w:rsidRPr="00D51345">
        <w:rPr>
          <w:b/>
          <w:i/>
          <w:sz w:val="24"/>
        </w:rPr>
        <w:t>Algorithm of RUCAS</w:t>
      </w:r>
    </w:p>
    <w:p w14:paraId="3B452125" w14:textId="01FC3E45" w:rsidR="00A43D6E" w:rsidRDefault="000D07EC" w:rsidP="00D51345">
      <w:pPr>
        <w:widowControl/>
        <w:spacing w:after="200" w:line="480" w:lineRule="auto"/>
        <w:ind w:firstLine="480"/>
        <w:jc w:val="left"/>
      </w:pPr>
      <w:r>
        <w:rPr>
          <w:bCs/>
          <w:color w:val="000000" w:themeColor="text1"/>
          <w:sz w:val="24"/>
          <w:szCs w:val="24"/>
        </w:rPr>
        <w:fldChar w:fldCharType="begin"/>
      </w:r>
      <w:r>
        <w:rPr>
          <w:color w:val="000000"/>
          <w:sz w:val="24"/>
        </w:rPr>
        <w:instrText xml:space="preserve"> REF _Ref171324266 \h </w:instrText>
      </w:r>
      <w:r>
        <w:rPr>
          <w:bCs/>
          <w:color w:val="000000" w:themeColor="text1"/>
          <w:sz w:val="24"/>
          <w:szCs w:val="24"/>
        </w:rPr>
      </w:r>
      <w:r>
        <w:rPr>
          <w:bCs/>
          <w:color w:val="000000" w:themeColor="text1"/>
          <w:sz w:val="24"/>
          <w:szCs w:val="24"/>
        </w:rPr>
        <w:fldChar w:fldCharType="separate"/>
      </w:r>
      <w:r w:rsidR="00BF6712" w:rsidRPr="001967BE">
        <w:rPr>
          <w:sz w:val="24"/>
          <w:szCs w:val="24"/>
        </w:rPr>
        <w:t xml:space="preserve">Fig. </w:t>
      </w:r>
      <w:r w:rsidR="00BF6712">
        <w:rPr>
          <w:noProof/>
          <w:sz w:val="24"/>
          <w:szCs w:val="24"/>
        </w:rPr>
        <w:t>1</w:t>
      </w:r>
      <w:r>
        <w:rPr>
          <w:bCs/>
          <w:color w:val="000000" w:themeColor="text1"/>
          <w:sz w:val="24"/>
          <w:szCs w:val="24"/>
        </w:rPr>
        <w:fldChar w:fldCharType="end"/>
      </w:r>
      <w:r>
        <w:rPr>
          <w:rFonts w:hint="eastAsia"/>
          <w:bCs/>
          <w:color w:val="000000" w:themeColor="text1"/>
          <w:sz w:val="24"/>
          <w:szCs w:val="24"/>
          <w:lang w:eastAsia="ko-KR"/>
        </w:rPr>
        <w:t xml:space="preserve"> </w:t>
      </w:r>
      <w:r w:rsidR="00F33CE8">
        <w:rPr>
          <w:color w:val="000000"/>
          <w:sz w:val="24"/>
        </w:rPr>
        <w:t xml:space="preserve">illustrates the detailed dose assessment algorithm used by RUCAS, which operates through dynamic interactions between its calculation modules—concentration, sampling, and dose calculation. These modules utilize a comprehensive database to compute radiation doses effectively. During the data processing phase, RUCAS initially constructs detailed databases that encompass essential radionuclide data along with scenario-specific parameters necessary for accurate dose assessment. Users can create a single input file that includes numerous editable scenarios, as depicted in </w:t>
      </w:r>
      <w:r>
        <w:rPr>
          <w:bCs/>
          <w:color w:val="000000" w:themeColor="text1"/>
          <w:sz w:val="24"/>
          <w:szCs w:val="24"/>
        </w:rPr>
        <w:fldChar w:fldCharType="begin"/>
      </w:r>
      <w:r>
        <w:rPr>
          <w:color w:val="000000"/>
          <w:sz w:val="24"/>
        </w:rPr>
        <w:instrText xml:space="preserve"> REF _Ref171324252 \h </w:instrText>
      </w:r>
      <w:r>
        <w:rPr>
          <w:bCs/>
          <w:color w:val="000000" w:themeColor="text1"/>
          <w:sz w:val="24"/>
          <w:szCs w:val="24"/>
        </w:rPr>
      </w:r>
      <w:r>
        <w:rPr>
          <w:bCs/>
          <w:color w:val="000000" w:themeColor="text1"/>
          <w:sz w:val="24"/>
          <w:szCs w:val="24"/>
        </w:rPr>
        <w:fldChar w:fldCharType="separate"/>
      </w:r>
      <w:r w:rsidR="00BF6712" w:rsidRPr="001967BE">
        <w:rPr>
          <w:sz w:val="24"/>
          <w:szCs w:val="24"/>
        </w:rPr>
        <w:t xml:space="preserve">Fig. </w:t>
      </w:r>
      <w:r w:rsidR="00BF6712">
        <w:rPr>
          <w:noProof/>
          <w:sz w:val="24"/>
          <w:szCs w:val="24"/>
        </w:rPr>
        <w:t>2</w:t>
      </w:r>
      <w:r>
        <w:rPr>
          <w:bCs/>
          <w:color w:val="000000" w:themeColor="text1"/>
          <w:sz w:val="24"/>
          <w:szCs w:val="24"/>
        </w:rPr>
        <w:fldChar w:fldCharType="end"/>
      </w:r>
      <w:r w:rsidR="00F33CE8">
        <w:rPr>
          <w:color w:val="000000"/>
          <w:sz w:val="24"/>
        </w:rPr>
        <w:t xml:space="preserve">. The input file is then processed; thus, relevant database information is sorted and transmitted to the appropriate calculation modules tailored for each specific recycling scenario. These calculation modules systemically process the incoming data, derive the results based on the predefined algorithms, and document these results in an output file. This iterative process—encompassing data processing, calculation, and recording—ensures that each recycling scenario selected by the user is evaluated comprehensively. </w:t>
      </w:r>
    </w:p>
    <w:p w14:paraId="3B452126" w14:textId="77777777" w:rsidR="00A43D6E" w:rsidRPr="00D51345" w:rsidRDefault="000D07EC">
      <w:pPr>
        <w:spacing w:after="200" w:line="480" w:lineRule="auto"/>
        <w:jc w:val="left"/>
        <w:rPr>
          <w:b/>
          <w:i/>
          <w:sz w:val="24"/>
        </w:rPr>
      </w:pPr>
      <w:r w:rsidRPr="00D51345">
        <w:rPr>
          <w:b/>
          <w:i/>
          <w:sz w:val="24"/>
        </w:rPr>
        <w:t>2.1.1 Concentration Module</w:t>
      </w:r>
    </w:p>
    <w:p w14:paraId="3B452127" w14:textId="113E1411" w:rsidR="00A43D6E" w:rsidRDefault="000D07EC">
      <w:pPr>
        <w:widowControl/>
        <w:spacing w:after="200" w:line="480" w:lineRule="auto"/>
        <w:ind w:firstLine="480"/>
        <w:jc w:val="left"/>
        <w:rPr>
          <w:color w:val="000000"/>
          <w:sz w:val="24"/>
        </w:rPr>
      </w:pPr>
      <w:r>
        <w:rPr>
          <w:color w:val="000000"/>
          <w:sz w:val="24"/>
        </w:rPr>
        <w:t>The scrap metal is transformed into byproducts, specifically ingots, slag, and dust. The concentration module calculates the radioactive concentration of each radionuclide in the recycling process by considering radioactive decay. The radionuclide concentrations are integrated over one</w:t>
      </w:r>
      <w:r w:rsidR="00B53C04">
        <w:rPr>
          <w:color w:val="000000"/>
          <w:sz w:val="24"/>
        </w:rPr>
        <w:t xml:space="preserve"> </w:t>
      </w:r>
      <w:r>
        <w:rPr>
          <w:color w:val="000000"/>
          <w:sz w:val="24"/>
        </w:rPr>
        <w:t>year, as shown in Eq. (1), based on the recycling scenario in RUCAS, which considers the activities and product usage during the initial year of the conservative assessment.</w:t>
      </w:r>
    </w:p>
    <w:p w14:paraId="3B452128" w14:textId="159498DC" w:rsidR="00A43D6E" w:rsidRDefault="00000000" w:rsidP="00DF334B">
      <w:pPr>
        <w:widowControl/>
        <w:spacing w:after="200" w:line="480" w:lineRule="auto"/>
        <w:ind w:firstLine="24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i,1 year</m:t>
            </m:r>
          </m:sub>
        </m:sSub>
        <m:r>
          <w:rPr>
            <w:rFonts w:ascii="Cambria Math" w:hAnsi="Cambria Math"/>
            <w:color w:val="000000" w:themeColor="text1"/>
            <w:sz w:val="24"/>
            <w:szCs w:val="24"/>
          </w:rPr>
          <m:t>=</m:t>
        </m:r>
        <m:nary>
          <m:naryPr>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0</m:t>
            </m:r>
          </m:sub>
          <m:sup>
            <m:r>
              <w:rPr>
                <w:rFonts w:ascii="Cambria Math" w:hAnsi="Cambria Math"/>
                <w:color w:val="000000" w:themeColor="text1"/>
                <w:sz w:val="24"/>
                <w:szCs w:val="24"/>
              </w:rPr>
              <m:t>1 yr</m:t>
            </m:r>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ctrlPr>
                  <w:rPr>
                    <w:rFonts w:ascii="Cambria Math" w:eastAsia="Cambria Math" w:hAnsi="Cambria Math"/>
                    <w:i/>
                    <w:color w:val="000000" w:themeColor="text1"/>
                    <w:sz w:val="24"/>
                    <w:szCs w:val="24"/>
                  </w:rPr>
                </m:ctrlPr>
              </m:e>
              <m:sub>
                <m:r>
                  <w:rPr>
                    <w:rFonts w:ascii="Cambria Math" w:hAnsi="Cambria Math"/>
                    <w:color w:val="000000" w:themeColor="text1"/>
                    <w:sz w:val="24"/>
                    <w:szCs w:val="24"/>
                  </w:rPr>
                  <m:t>i,0</m:t>
                </m:r>
              </m:sub>
            </m:sSub>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-λt</m:t>
                </m:r>
              </m:sup>
            </m:sSup>
            <m:r>
              <w:rPr>
                <w:rFonts w:ascii="Cambria Math" w:hAnsi="Cambria Math"/>
                <w:color w:val="000000" w:themeColor="text1"/>
                <w:sz w:val="24"/>
                <w:szCs w:val="24"/>
              </w:rPr>
              <m:t xml:space="preserve"> dt</m:t>
            </m:r>
          </m:e>
        </m:nary>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i,0</m:t>
            </m:r>
          </m:sub>
        </m:sSub>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-λ</m:t>
                    </m:r>
                  </m:sup>
                </m:sSup>
              </m:num>
              <m:den>
                <m:r>
                  <w:rPr>
                    <w:rFonts w:ascii="Cambria Math" w:hAnsi="Cambria Math"/>
                    <w:color w:val="000000" w:themeColor="text1"/>
                    <w:sz w:val="24"/>
                    <w:szCs w:val="24"/>
                  </w:rPr>
                  <m:t>λ</m:t>
                </m:r>
              </m:den>
            </m:f>
          </m:e>
        </m:d>
        <m:r>
          <w:rPr>
            <w:rFonts w:ascii="Cambria Math" w:hAnsi="Cambria Math"/>
            <w:color w:val="000000" w:themeColor="text1"/>
            <w:sz w:val="24"/>
            <w:szCs w:val="24"/>
          </w:rPr>
          <m:t>,</m:t>
        </m:r>
      </m:oMath>
      <w:r w:rsidR="00F5297D">
        <w:rPr>
          <w:color w:val="000000"/>
          <w:sz w:val="24"/>
        </w:rPr>
        <w:tab/>
      </w:r>
      <w:r w:rsidR="00F5297D">
        <w:rPr>
          <w:color w:val="000000"/>
          <w:sz w:val="24"/>
        </w:rPr>
        <w:tab/>
      </w:r>
      <w:r w:rsidR="00F5297D">
        <w:rPr>
          <w:color w:val="000000"/>
          <w:sz w:val="24"/>
        </w:rPr>
        <w:tab/>
      </w:r>
      <w:r w:rsidR="00F5297D">
        <w:rPr>
          <w:color w:val="000000"/>
          <w:sz w:val="24"/>
        </w:rPr>
        <w:tab/>
        <w:t>(1)</w:t>
      </w:r>
    </w:p>
    <w:p w14:paraId="3B452129" w14:textId="71690BDB" w:rsidR="00A43D6E" w:rsidRDefault="000D07EC">
      <w:pPr>
        <w:widowControl/>
        <w:spacing w:after="200" w:line="480" w:lineRule="auto"/>
        <w:jc w:val="left"/>
        <w:rPr>
          <w:color w:val="000000"/>
          <w:sz w:val="24"/>
        </w:rPr>
      </w:pPr>
      <w:r>
        <w:rPr>
          <w:color w:val="000000"/>
          <w:sz w:val="24"/>
        </w:rPr>
        <w:lastRenderedPageBreak/>
        <w:t xml:space="preserve">where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 1 year</m:t>
            </m:r>
          </m:sub>
        </m:sSub>
      </m:oMath>
      <w:r>
        <w:rPr>
          <w:color w:val="000000"/>
          <w:sz w:val="24"/>
        </w:rPr>
        <w:t xml:space="preserve"> is the cumulative radioactive concentration of radionuclide </w:t>
      </w:r>
      <m:oMath>
        <m:r>
          <w:rPr>
            <w:rFonts w:ascii="Cambria Math" w:hAnsi="Cambria Math"/>
            <w:color w:val="000000" w:themeColor="text1"/>
            <w:sz w:val="24"/>
            <w:szCs w:val="24"/>
          </w:rPr>
          <m:t>i</m:t>
        </m:r>
      </m:oMath>
      <w:r>
        <w:rPr>
          <w:color w:val="000000"/>
          <w:sz w:val="24"/>
        </w:rPr>
        <w:t xml:space="preserve"> over one year of radioactive decay (</w:t>
      </w:r>
      <m:oMath>
        <m:r>
          <w:rPr>
            <w:rFonts w:ascii="Cambria Math" w:hAnsi="Cambria Math"/>
            <w:color w:val="000000" w:themeColor="text1"/>
            <w:sz w:val="24"/>
            <w:szCs w:val="24"/>
          </w:rPr>
          <m:t>Bq/g</m:t>
        </m:r>
      </m:oMath>
      <w:r>
        <w:rPr>
          <w:color w:val="000000"/>
          <w:sz w:val="24"/>
        </w:rPr>
        <w:t>).</w:t>
      </w:r>
    </w:p>
    <w:p w14:paraId="3B45212A" w14:textId="6EEB2DE9" w:rsidR="00A43D6E" w:rsidRDefault="000D07EC">
      <w:pPr>
        <w:widowControl/>
        <w:spacing w:after="200" w:line="480" w:lineRule="auto"/>
        <w:ind w:firstLine="480"/>
        <w:jc w:val="left"/>
        <w:rPr>
          <w:color w:val="000000"/>
          <w:sz w:val="24"/>
        </w:rPr>
      </w:pPr>
      <w:r>
        <w:rPr>
          <w:color w:val="000000"/>
          <w:sz w:val="24"/>
        </w:rPr>
        <w:t xml:space="preserve">Based on the principles of secular equilibrium and Bateman’s equation </w:t>
      </w:r>
      <w:r w:rsidR="00DF0D79">
        <w:rPr>
          <w:color w:val="000000"/>
          <w:sz w:val="24"/>
        </w:rPr>
        <w:t>[25]</w:t>
      </w:r>
      <w:r>
        <w:rPr>
          <w:color w:val="000000"/>
          <w:sz w:val="24"/>
        </w:rPr>
        <w:t>, the radioactive concentration of the progeny resulting from the decay of the parent radionuclide can be derived as follows:</w:t>
      </w:r>
    </w:p>
    <w:p w14:paraId="3B45212B" w14:textId="00B8EABF" w:rsidR="00A43D6E" w:rsidRDefault="00000000" w:rsidP="00E1577D">
      <w:pPr>
        <w:widowControl/>
        <w:spacing w:after="200" w:line="480" w:lineRule="auto"/>
        <w:ind w:firstLine="24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2</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t</m:t>
            </m:r>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1</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0</m:t>
            </m:r>
          </m:e>
        </m:d>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2</m:t>
            </m:r>
          </m:sub>
        </m:sSub>
        <m:f>
          <m:fPr>
            <m:ctrlPr>
              <w:rPr>
                <w:rFonts w:ascii="Cambria Math" w:hAnsi="Cambria Math"/>
                <w:i/>
                <w:color w:val="000000" w:themeColor="text1"/>
                <w:sz w:val="24"/>
                <w:szCs w:val="24"/>
              </w:rPr>
            </m:ctrlPr>
          </m:fPr>
          <m:num>
            <m:d>
              <m:dPr>
                <m:ctrlPr>
                  <w:rPr>
                    <w:rFonts w:ascii="Cambria Math" w:hAnsi="Cambria Math"/>
                    <w:i/>
                    <w:color w:val="000000" w:themeColor="text1"/>
                    <w:sz w:val="24"/>
                    <w:szCs w:val="24"/>
                  </w:rPr>
                </m:ctrlPr>
              </m:d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1</m:t>
                        </m:r>
                      </m:sub>
                    </m:sSub>
                    <m:r>
                      <w:rPr>
                        <w:rFonts w:ascii="Cambria Math" w:hAnsi="Cambria Math"/>
                        <w:color w:val="000000" w:themeColor="text1"/>
                        <w:sz w:val="24"/>
                        <w:szCs w:val="24"/>
                      </w:rPr>
                      <m:t>t</m:t>
                    </m:r>
                  </m:sup>
                </m:sSup>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2</m:t>
                        </m:r>
                      </m:sub>
                    </m:sSub>
                    <m:r>
                      <w:rPr>
                        <w:rFonts w:ascii="Cambria Math" w:hAnsi="Cambria Math"/>
                        <w:color w:val="000000" w:themeColor="text1"/>
                        <w:sz w:val="24"/>
                        <w:szCs w:val="24"/>
                      </w:rPr>
                      <m:t>t</m:t>
                    </m:r>
                  </m:sup>
                </m:sSup>
              </m:e>
            </m:d>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2</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1</m:t>
                </m:r>
              </m:sub>
            </m:sSub>
          </m:den>
        </m:f>
      </m:oMath>
      <w:r w:rsidR="00A606F1">
        <w:rPr>
          <w:color w:val="000000" w:themeColor="text1"/>
          <w:sz w:val="24"/>
          <w:szCs w:val="24"/>
        </w:rPr>
        <w:t>,</w:t>
      </w:r>
      <w:r w:rsidR="00F5297D">
        <w:rPr>
          <w:color w:val="000000"/>
          <w:sz w:val="24"/>
        </w:rPr>
        <w:tab/>
      </w:r>
      <w:r w:rsidR="00F5297D">
        <w:rPr>
          <w:color w:val="000000"/>
          <w:sz w:val="24"/>
        </w:rPr>
        <w:tab/>
      </w:r>
      <w:r w:rsidR="00F5297D">
        <w:rPr>
          <w:color w:val="000000"/>
          <w:sz w:val="24"/>
        </w:rPr>
        <w:tab/>
      </w:r>
      <w:r w:rsidR="00F5297D">
        <w:rPr>
          <w:color w:val="000000"/>
          <w:sz w:val="24"/>
        </w:rPr>
        <w:tab/>
      </w:r>
      <w:r w:rsidR="00F5297D">
        <w:rPr>
          <w:color w:val="000000"/>
          <w:sz w:val="24"/>
        </w:rPr>
        <w:tab/>
        <w:t>(2)</w:t>
      </w:r>
    </w:p>
    <w:p w14:paraId="3B45212C" w14:textId="77777777" w:rsidR="00A43D6E" w:rsidRDefault="000D07EC">
      <w:pPr>
        <w:widowControl/>
        <w:spacing w:after="200" w:line="480" w:lineRule="auto"/>
        <w:jc w:val="left"/>
        <w:rPr>
          <w:color w:val="000000"/>
          <w:sz w:val="24"/>
        </w:rPr>
      </w:pPr>
      <w:r>
        <w:rPr>
          <w:color w:val="000000"/>
          <w:sz w:val="24"/>
        </w:rPr>
        <w:t xml:space="preserve">where 1 and 2 denote the parent radionuclide and progeny, respectively, </w:t>
      </w:r>
      <m:oMath>
        <m:r>
          <w:rPr>
            <w:rFonts w:ascii="Cambria Math" w:hAnsi="Cambria Math"/>
            <w:color w:val="000000" w:themeColor="text1"/>
            <w:sz w:val="24"/>
            <w:szCs w:val="24"/>
          </w:rPr>
          <m:t>C(t)</m:t>
        </m:r>
      </m:oMath>
      <w:r>
        <w:rPr>
          <w:b/>
          <w:color w:val="000000"/>
          <w:sz w:val="24"/>
        </w:rPr>
        <w:t xml:space="preserve"> </w:t>
      </w:r>
      <w:r>
        <w:rPr>
          <w:color w:val="000000"/>
          <w:sz w:val="24"/>
        </w:rPr>
        <w:t>denotes the radioactive concentration (</w:t>
      </w:r>
      <m:oMath>
        <m:r>
          <w:rPr>
            <w:rFonts w:ascii="Cambria Math" w:hAnsi="Cambria Math" w:hint="eastAsia"/>
            <w:color w:val="000000" w:themeColor="text1"/>
            <w:sz w:val="24"/>
            <w:szCs w:val="24"/>
          </w:rPr>
          <m:t>Bq/g</m:t>
        </m:r>
      </m:oMath>
      <w:r>
        <w:rPr>
          <w:color w:val="000000"/>
          <w:sz w:val="24"/>
        </w:rPr>
        <w:t xml:space="preserve">), </w:t>
      </w:r>
      <m:oMath>
        <m:r>
          <w:rPr>
            <w:rFonts w:ascii="Cambria Math" w:hAnsi="Cambria Math"/>
            <w:color w:val="000000" w:themeColor="text1"/>
            <w:sz w:val="24"/>
            <w:szCs w:val="24"/>
          </w:rPr>
          <m:t>λ</m:t>
        </m:r>
      </m:oMath>
      <w:r>
        <w:rPr>
          <w:color w:val="000000"/>
          <w:sz w:val="24"/>
        </w:rPr>
        <w:t xml:space="preserve"> is the decay constant (</w:t>
      </w:r>
      <m:oMath>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yr</m:t>
            </m:r>
          </m:e>
          <m:sup>
            <m:r>
              <w:rPr>
                <w:rFonts w:ascii="Cambria Math" w:hAnsi="Cambria Math"/>
                <w:color w:val="000000" w:themeColor="text1"/>
                <w:sz w:val="24"/>
                <w:szCs w:val="24"/>
              </w:rPr>
              <m:t>-1</m:t>
            </m:r>
          </m:sup>
        </m:sSup>
      </m:oMath>
      <w:r>
        <w:rPr>
          <w:color w:val="000000"/>
          <w:sz w:val="24"/>
        </w:rPr>
        <w:t xml:space="preserve">), and </w:t>
      </w:r>
      <m:oMath>
        <m:r>
          <w:rPr>
            <w:rFonts w:ascii="Cambria Math" w:hAnsi="Cambria Math"/>
            <w:color w:val="000000" w:themeColor="text1"/>
            <w:sz w:val="24"/>
            <w:szCs w:val="24"/>
          </w:rPr>
          <m:t>B</m:t>
        </m:r>
      </m:oMath>
      <w:r>
        <w:rPr>
          <w:color w:val="000000"/>
          <w:sz w:val="24"/>
        </w:rPr>
        <w:t xml:space="preserve"> is the branching ratio, which denotes the partitioning ratio from the parent to progeny radionuclides.</w:t>
      </w:r>
    </w:p>
    <w:p w14:paraId="3B45212D" w14:textId="77777777" w:rsidR="00A43D6E" w:rsidRDefault="000D07EC">
      <w:pPr>
        <w:widowControl/>
        <w:spacing w:after="200" w:line="480" w:lineRule="auto"/>
        <w:ind w:firstLine="480"/>
        <w:jc w:val="left"/>
        <w:rPr>
          <w:color w:val="000000"/>
          <w:sz w:val="24"/>
        </w:rPr>
      </w:pPr>
      <w:r>
        <w:rPr>
          <w:color w:val="000000"/>
          <w:sz w:val="24"/>
        </w:rPr>
        <w:t xml:space="preserve">The maximum time </w:t>
      </w:r>
      <m:oMath>
        <m:sSub>
          <m:sSubPr>
            <m:ctrlPr>
              <w:rPr>
                <w:rFonts w:ascii="Cambria Math" w:hAnsi="Cambria Math"/>
                <w:bCs/>
                <w:color w:val="000000" w:themeColor="text1"/>
                <w:sz w:val="24"/>
                <w:szCs w:val="24"/>
              </w:rPr>
            </m:ctrlPr>
          </m:sSubPr>
          <m:e>
            <m:r>
              <w:rPr>
                <w:rFonts w:ascii="Cambria Math" w:hAnsi="Cambria Math"/>
                <w:color w:val="000000" w:themeColor="text1"/>
                <w:sz w:val="24"/>
                <w:szCs w:val="24"/>
              </w:rPr>
              <m:t>t</m:t>
            </m:r>
            <m:ctrlPr>
              <w:rPr>
                <w:rFonts w:ascii="Cambria Math" w:hAnsi="Cambria Math"/>
                <w:bCs/>
                <w:i/>
                <w:color w:val="000000" w:themeColor="text1"/>
                <w:sz w:val="24"/>
                <w:szCs w:val="24"/>
              </w:rPr>
            </m:ctrlPr>
          </m:e>
          <m:sub>
            <m:r>
              <w:rPr>
                <w:rFonts w:ascii="Cambria Math" w:hAnsi="Cambria Math"/>
                <w:color w:val="000000" w:themeColor="text1"/>
                <w:sz w:val="24"/>
                <w:szCs w:val="24"/>
              </w:rPr>
              <m:t>max</m:t>
            </m:r>
          </m:sub>
        </m:sSub>
        <m:r>
          <w:rPr>
            <w:rFonts w:ascii="Cambria Math" w:hAnsi="Cambria Math"/>
            <w:color w:val="000000" w:themeColor="text1"/>
            <w:sz w:val="24"/>
            <w:szCs w:val="24"/>
          </w:rPr>
          <m:t xml:space="preserve"> (yr)</m:t>
        </m:r>
      </m:oMath>
      <w:r>
        <w:rPr>
          <w:color w:val="000000"/>
          <w:sz w:val="24"/>
        </w:rPr>
        <w:t xml:space="preserve"> can be derived from the derivative of the progeny concentration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2</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t</m:t>
            </m:r>
          </m:e>
        </m:d>
      </m:oMath>
      <w:r>
        <w:rPr>
          <w:color w:val="000000"/>
          <w:sz w:val="24"/>
        </w:rPr>
        <w:t xml:space="preserve"> as follows:</w:t>
      </w:r>
    </w:p>
    <w:p w14:paraId="3B45212E" w14:textId="62639E72" w:rsidR="00A43D6E" w:rsidRDefault="00000000" w:rsidP="00E1577D">
      <w:pPr>
        <w:widowControl/>
        <w:spacing w:after="200" w:line="480" w:lineRule="auto"/>
        <w:ind w:firstLine="12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max</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log⁡(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1</m:t>
                </m:r>
              </m:sub>
            </m:sSub>
            <m:r>
              <w:rPr>
                <w:rFonts w:ascii="Cambria Math" w:hAnsi="Cambria Math"/>
                <w:color w:val="000000" w:themeColor="text1"/>
                <w:sz w:val="24"/>
                <w:szCs w:val="24"/>
              </w:rPr>
              <m:t>)</m:t>
            </m:r>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λ</m:t>
                </m:r>
              </m:e>
              <m:sub>
                <m:r>
                  <w:rPr>
                    <w:rFonts w:ascii="Cambria Math" w:hAnsi="Cambria Math"/>
                    <w:color w:val="000000" w:themeColor="text1"/>
                    <w:sz w:val="24"/>
                    <w:szCs w:val="24"/>
                  </w:rPr>
                  <m:t>1</m:t>
                </m:r>
              </m:sub>
            </m:sSub>
          </m:den>
        </m:f>
      </m:oMath>
      <w:r w:rsidR="001373B1">
        <w:rPr>
          <w:color w:val="000000" w:themeColor="text1"/>
          <w:sz w:val="24"/>
          <w:szCs w:val="24"/>
        </w:rPr>
        <w:t>.</w:t>
      </w:r>
      <w:r w:rsidR="00F5297D">
        <w:rPr>
          <w:color w:val="000000"/>
          <w:sz w:val="24"/>
        </w:rPr>
        <w:tab/>
      </w:r>
      <w:r w:rsidR="00F5297D">
        <w:rPr>
          <w:color w:val="000000"/>
          <w:sz w:val="24"/>
        </w:rPr>
        <w:tab/>
      </w:r>
      <w:r w:rsidR="00F5297D">
        <w:rPr>
          <w:color w:val="000000"/>
          <w:sz w:val="24"/>
        </w:rPr>
        <w:tab/>
      </w:r>
      <w:r w:rsidR="00F5297D">
        <w:rPr>
          <w:color w:val="000000"/>
          <w:sz w:val="24"/>
        </w:rPr>
        <w:tab/>
      </w:r>
      <w:r w:rsidR="00F5297D">
        <w:rPr>
          <w:color w:val="000000"/>
          <w:sz w:val="24"/>
        </w:rPr>
        <w:tab/>
      </w:r>
      <w:r w:rsidR="00F5297D">
        <w:rPr>
          <w:color w:val="000000"/>
          <w:sz w:val="24"/>
        </w:rPr>
        <w:tab/>
        <w:t>(3)</w:t>
      </w:r>
    </w:p>
    <w:p w14:paraId="3B45212F" w14:textId="77777777" w:rsidR="00A43D6E" w:rsidRDefault="000D07EC">
      <w:pPr>
        <w:widowControl/>
        <w:spacing w:after="200" w:line="480" w:lineRule="auto"/>
        <w:ind w:firstLine="480"/>
        <w:jc w:val="left"/>
        <w:rPr>
          <w:color w:val="000000"/>
          <w:sz w:val="24"/>
        </w:rPr>
      </w:pPr>
      <w:r>
        <w:rPr>
          <w:color w:val="000000"/>
          <w:sz w:val="24"/>
        </w:rPr>
        <w:t xml:space="preserve">In converting scrap metal into byproducts, such as ingots, slag, and dust, the radioactive concentrations of these byproducts,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i,byproduct, 1year</m:t>
            </m:r>
          </m:sub>
        </m:sSub>
        <m:r>
          <w:rPr>
            <w:rFonts w:ascii="Cambria Math" w:hAnsi="Cambria Math"/>
            <w:color w:val="000000" w:themeColor="text1"/>
            <w:sz w:val="24"/>
            <w:szCs w:val="24"/>
          </w:rPr>
          <m:t xml:space="preserve"> (Bq/g)</m:t>
        </m:r>
      </m:oMath>
      <w:r>
        <w:rPr>
          <w:color w:val="000000"/>
          <w:sz w:val="24"/>
        </w:rPr>
        <w:t>, within the recycling flow can be expressed as the product of the mass and radionuclide partitioning factors, as illustrated in Eq. (4).</w:t>
      </w:r>
    </w:p>
    <w:p w14:paraId="3B452130" w14:textId="5112450D" w:rsidR="00A43D6E" w:rsidRDefault="00000000" w:rsidP="00E1577D">
      <w:pPr>
        <w:widowControl/>
        <w:spacing w:after="200" w:line="480" w:lineRule="auto"/>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 byproduct, 1 year</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 1 year</m:t>
            </m:r>
          </m:sub>
        </m:sSub>
        <m:r>
          <w:rPr>
            <w:rFonts w:ascii="Cambria Math" w:hAnsi="Cambria Math"/>
            <w:color w:val="000000" w:themeColor="text1"/>
            <w:sz w:val="24"/>
            <w:szCs w:val="24"/>
          </w:rPr>
          <m:t>×RP</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i, byproduct</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scrap</m:t>
                </m:r>
              </m:sub>
            </m:sSub>
          </m:num>
          <m:den>
            <m:r>
              <w:rPr>
                <w:rFonts w:ascii="Cambria Math" w:hAnsi="Cambria Math"/>
                <w:color w:val="000000" w:themeColor="text1"/>
                <w:sz w:val="24"/>
                <w:szCs w:val="24"/>
              </w:rPr>
              <m:t>MP</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byproduct</m:t>
                </m:r>
              </m:sub>
            </m:sSub>
          </m:den>
        </m:f>
        <m:r>
          <w:rPr>
            <w:rFonts w:ascii="Cambria Math" w:hAnsi="Cambria Math"/>
            <w:color w:val="000000" w:themeColor="text1"/>
            <w:sz w:val="24"/>
            <w:szCs w:val="24"/>
          </w:rPr>
          <m:t>,</m:t>
        </m:r>
      </m:oMath>
      <w:r w:rsidR="00F5297D">
        <w:rPr>
          <w:color w:val="000000"/>
          <w:sz w:val="24"/>
        </w:rPr>
        <w:tab/>
      </w:r>
      <w:r w:rsidR="00F5297D">
        <w:rPr>
          <w:color w:val="000000"/>
          <w:sz w:val="24"/>
        </w:rPr>
        <w:tab/>
        <w:t>(4)</w:t>
      </w:r>
    </w:p>
    <w:p w14:paraId="3B452132" w14:textId="77777777" w:rsidR="00A43D6E" w:rsidRDefault="000D07EC">
      <w:pPr>
        <w:widowControl/>
        <w:spacing w:after="200" w:line="480" w:lineRule="auto"/>
        <w:jc w:val="left"/>
        <w:rPr>
          <w:color w:val="000000"/>
          <w:sz w:val="24"/>
        </w:rPr>
      </w:pPr>
      <w:r>
        <w:rPr>
          <w:color w:val="000000"/>
          <w:sz w:val="24"/>
        </w:rPr>
        <w:t xml:space="preserve">where </w:t>
      </w:r>
      <m:oMath>
        <m:r>
          <w:rPr>
            <w:rFonts w:ascii="Cambria Math" w:hAnsi="Cambria Math"/>
            <w:color w:val="000000" w:themeColor="text1"/>
            <w:sz w:val="24"/>
            <w:szCs w:val="24"/>
          </w:rPr>
          <m:t>RP</m:t>
        </m:r>
        <m:sSub>
          <m:sSubPr>
            <m:ctrlPr>
              <w:rPr>
                <w:rFonts w:ascii="Cambria Math" w:hAnsi="Cambria Math"/>
                <w:bCs/>
                <w:color w:val="000000" w:themeColor="text1"/>
                <w:sz w:val="24"/>
                <w:szCs w:val="24"/>
              </w:rPr>
            </m:ctrlPr>
          </m:sSubPr>
          <m:e>
            <m:r>
              <w:rPr>
                <w:rFonts w:ascii="Cambria Math" w:hAnsi="Cambria Math"/>
                <w:color w:val="000000" w:themeColor="text1"/>
                <w:sz w:val="24"/>
                <w:szCs w:val="24"/>
              </w:rPr>
              <m:t>F</m:t>
            </m:r>
            <m:ctrlPr>
              <w:rPr>
                <w:rFonts w:ascii="Cambria Math" w:hAnsi="Cambria Math"/>
                <w:bCs/>
                <w:i/>
                <w:color w:val="000000" w:themeColor="text1"/>
                <w:sz w:val="24"/>
                <w:szCs w:val="24"/>
              </w:rPr>
            </m:ctrlPr>
          </m:e>
          <m:sub>
            <m:r>
              <w:rPr>
                <w:rFonts w:ascii="Cambria Math" w:hAnsi="Cambria Math"/>
                <w:color w:val="000000" w:themeColor="text1"/>
                <w:sz w:val="24"/>
                <w:szCs w:val="24"/>
              </w:rPr>
              <m:t>i,byproduct</m:t>
            </m:r>
          </m:sub>
        </m:sSub>
      </m:oMath>
      <w:r>
        <w:rPr>
          <w:color w:val="000000"/>
          <w:sz w:val="24"/>
        </w:rPr>
        <w:t xml:space="preserve"> denotes the radionuclide partitioning factor for radionuclide </w:t>
      </w:r>
      <m:oMath>
        <m:r>
          <w:rPr>
            <w:rFonts w:ascii="Cambria Math" w:hAnsi="Cambria Math"/>
            <w:color w:val="000000" w:themeColor="text1"/>
            <w:sz w:val="24"/>
            <w:szCs w:val="24"/>
          </w:rPr>
          <m:t>i</m:t>
        </m:r>
      </m:oMath>
      <w:r>
        <w:rPr>
          <w:color w:val="000000"/>
          <w:sz w:val="24"/>
        </w:rPr>
        <w:t>, indicating the radioactivity ratio of the byproduct to the total radioactivity</w:t>
      </w:r>
      <w:r w:rsidR="00A606F1">
        <w:rPr>
          <w:color w:val="000000"/>
          <w:sz w:val="24"/>
        </w:rPr>
        <w:t>,</w:t>
      </w:r>
      <w:r>
        <w:rPr>
          <w:color w:val="000000"/>
          <w:sz w:val="24"/>
        </w:rPr>
        <w:t xml:space="preserve"> </w:t>
      </w:r>
      <m:oMath>
        <m:sSub>
          <m:sSubPr>
            <m:ctrlPr>
              <w:rPr>
                <w:rFonts w:ascii="Cambria Math" w:hAnsi="Cambria Math"/>
                <w:bCs/>
                <w:color w:val="000000" w:themeColor="text1"/>
                <w:sz w:val="24"/>
                <w:szCs w:val="24"/>
              </w:rPr>
            </m:ctrlPr>
          </m:sSubPr>
          <m:e>
            <m:r>
              <w:rPr>
                <w:rFonts w:ascii="Cambria Math" w:hAnsi="Cambria Math"/>
                <w:color w:val="000000" w:themeColor="text1"/>
                <w:sz w:val="24"/>
                <w:szCs w:val="24"/>
              </w:rPr>
              <m:t>W</m:t>
            </m:r>
            <m:ctrlPr>
              <w:rPr>
                <w:rFonts w:ascii="Cambria Math" w:hAnsi="Cambria Math"/>
                <w:bCs/>
                <w:i/>
                <w:color w:val="000000" w:themeColor="text1"/>
                <w:sz w:val="24"/>
                <w:szCs w:val="24"/>
              </w:rPr>
            </m:ctrlPr>
          </m:e>
          <m:sub>
            <m:r>
              <m:rPr>
                <m:sty m:val="p"/>
              </m:rPr>
              <w:rPr>
                <w:rFonts w:ascii="Cambria Math" w:hAnsi="Cambria Math"/>
                <w:color w:val="000000" w:themeColor="text1"/>
                <w:sz w:val="24"/>
                <w:szCs w:val="24"/>
              </w:rPr>
              <m:t>scrap</m:t>
            </m:r>
          </m:sub>
        </m:sSub>
      </m:oMath>
      <w:r>
        <w:rPr>
          <w:color w:val="000000"/>
          <w:sz w:val="24"/>
        </w:rPr>
        <w:t xml:space="preserve"> denotes the dilution </w:t>
      </w:r>
      <w:r>
        <w:rPr>
          <w:color w:val="000000"/>
          <w:sz w:val="24"/>
        </w:rPr>
        <w:lastRenderedPageBreak/>
        <w:t>factor, the fraction of the contaminated scrap metal in the total waste</w:t>
      </w:r>
      <w:r w:rsidR="00A606F1">
        <w:rPr>
          <w:color w:val="000000"/>
          <w:sz w:val="24"/>
        </w:rPr>
        <w:t>,</w:t>
      </w:r>
      <w:r>
        <w:rPr>
          <w:color w:val="000000"/>
          <w:sz w:val="24"/>
        </w:rPr>
        <w:t xml:space="preserve"> and </w:t>
      </w:r>
      <m:oMath>
        <m:r>
          <w:rPr>
            <w:rFonts w:ascii="Cambria Math" w:hAnsi="Cambria Math"/>
            <w:color w:val="000000" w:themeColor="text1"/>
            <w:sz w:val="24"/>
            <w:szCs w:val="24"/>
          </w:rPr>
          <m:t>MP</m:t>
        </m:r>
        <m:sSub>
          <m:sSubPr>
            <m:ctrlPr>
              <w:rPr>
                <w:rFonts w:ascii="Cambria Math" w:hAnsi="Cambria Math"/>
                <w:bCs/>
                <w:color w:val="000000" w:themeColor="text1"/>
                <w:sz w:val="24"/>
                <w:szCs w:val="24"/>
              </w:rPr>
            </m:ctrlPr>
          </m:sSubPr>
          <m:e>
            <m:r>
              <w:rPr>
                <w:rFonts w:ascii="Cambria Math" w:hAnsi="Cambria Math"/>
                <w:color w:val="000000" w:themeColor="text1"/>
                <w:sz w:val="24"/>
                <w:szCs w:val="24"/>
              </w:rPr>
              <m:t>F</m:t>
            </m:r>
            <m:ctrlPr>
              <w:rPr>
                <w:rFonts w:ascii="Cambria Math" w:hAnsi="Cambria Math"/>
                <w:bCs/>
                <w:i/>
                <w:color w:val="000000" w:themeColor="text1"/>
                <w:sz w:val="24"/>
                <w:szCs w:val="24"/>
              </w:rPr>
            </m:ctrlPr>
          </m:e>
          <m:sub>
            <m:r>
              <w:rPr>
                <w:rFonts w:ascii="Cambria Math" w:hAnsi="Cambria Math"/>
                <w:color w:val="000000" w:themeColor="text1"/>
                <w:sz w:val="24"/>
                <w:szCs w:val="24"/>
              </w:rPr>
              <m:t>byproduct</m:t>
            </m:r>
          </m:sub>
        </m:sSub>
      </m:oMath>
      <w:r>
        <w:rPr>
          <w:color w:val="000000"/>
          <w:sz w:val="24"/>
        </w:rPr>
        <w:t xml:space="preserve"> is the mass partitioning factor for the byproduct, which is the ratio of the byproduct mass to the total mass.</w:t>
      </w:r>
    </w:p>
    <w:p w14:paraId="3B452133" w14:textId="77777777" w:rsidR="00A43D6E" w:rsidRPr="00D51345" w:rsidRDefault="000D07EC">
      <w:pPr>
        <w:widowControl/>
        <w:spacing w:line="480" w:lineRule="auto"/>
        <w:jc w:val="left"/>
        <w:rPr>
          <w:b/>
          <w:i/>
          <w:sz w:val="24"/>
        </w:rPr>
      </w:pPr>
      <w:r w:rsidRPr="00D51345">
        <w:rPr>
          <w:b/>
          <w:i/>
          <w:sz w:val="24"/>
        </w:rPr>
        <w:t>2.1.2 Sampling Module</w:t>
      </w:r>
    </w:p>
    <w:p w14:paraId="3B452135" w14:textId="091C2D63" w:rsidR="00A43D6E" w:rsidRDefault="000D07EC" w:rsidP="00D51345">
      <w:pPr>
        <w:widowControl/>
        <w:spacing w:after="200" w:line="480" w:lineRule="auto"/>
        <w:ind w:firstLine="480"/>
        <w:jc w:val="left"/>
        <w:rPr>
          <w:color w:val="000000"/>
          <w:sz w:val="24"/>
        </w:rPr>
      </w:pPr>
      <w:r>
        <w:rPr>
          <w:color w:val="000000"/>
          <w:sz w:val="24"/>
        </w:rPr>
        <w:t xml:space="preserve">The point-kernel (PK) method is used within RUCAS to evaluate various source geometries in external dose assessments </w:t>
      </w:r>
      <w:r w:rsidR="004754F8">
        <w:rPr>
          <w:color w:val="000000"/>
          <w:sz w:val="24"/>
        </w:rPr>
        <w:t>[26]</w:t>
      </w:r>
      <w:r>
        <w:rPr>
          <w:color w:val="000000"/>
          <w:sz w:val="24"/>
        </w:rPr>
        <w:t xml:space="preserve">, and it requires uniformly sampling numerous point sources within a specified volumetric source geometry. This improves </w:t>
      </w:r>
      <w:proofErr w:type="gramStart"/>
      <w:r>
        <w:rPr>
          <w:color w:val="000000"/>
          <w:sz w:val="24"/>
        </w:rPr>
        <w:t>the risk</w:t>
      </w:r>
      <w:proofErr w:type="gramEnd"/>
      <w:r>
        <w:rPr>
          <w:color w:val="000000"/>
          <w:sz w:val="24"/>
        </w:rPr>
        <w:t xml:space="preserve"> assessment performance by simulating realistic radioactive source forms, such as drums, stacked piles, and buildings, using the geometries supported by RUCAS, as detailed in </w:t>
      </w:r>
      <w:r w:rsidR="00371310">
        <w:rPr>
          <w:bCs/>
          <w:color w:val="000000" w:themeColor="text1"/>
          <w:sz w:val="24"/>
          <w:szCs w:val="24"/>
        </w:rPr>
        <w:fldChar w:fldCharType="begin"/>
      </w:r>
      <w:r w:rsidR="00371310">
        <w:rPr>
          <w:color w:val="000000"/>
          <w:sz w:val="24"/>
        </w:rPr>
        <w:instrText xml:space="preserve"> REF _Ref171325902 \h </w:instrText>
      </w:r>
      <w:r w:rsidR="00371310">
        <w:rPr>
          <w:bCs/>
          <w:color w:val="000000" w:themeColor="text1"/>
          <w:sz w:val="24"/>
          <w:szCs w:val="24"/>
        </w:rPr>
      </w:r>
      <w:r w:rsidR="00371310">
        <w:rPr>
          <w:bCs/>
          <w:color w:val="000000" w:themeColor="text1"/>
          <w:sz w:val="24"/>
          <w:szCs w:val="24"/>
        </w:rPr>
        <w:fldChar w:fldCharType="separate"/>
      </w:r>
      <w:r w:rsidR="00BF6712" w:rsidRPr="00371310">
        <w:rPr>
          <w:sz w:val="24"/>
          <w:szCs w:val="24"/>
        </w:rPr>
        <w:t xml:space="preserve">Table </w:t>
      </w:r>
      <w:r w:rsidR="00BF6712">
        <w:rPr>
          <w:noProof/>
          <w:sz w:val="24"/>
          <w:szCs w:val="24"/>
        </w:rPr>
        <w:t>1</w:t>
      </w:r>
      <w:r w:rsidR="00371310">
        <w:rPr>
          <w:bCs/>
          <w:color w:val="000000" w:themeColor="text1"/>
          <w:sz w:val="24"/>
          <w:szCs w:val="24"/>
        </w:rPr>
        <w:fldChar w:fldCharType="end"/>
      </w:r>
      <w:r>
        <w:rPr>
          <w:color w:val="000000"/>
          <w:sz w:val="24"/>
        </w:rPr>
        <w:t xml:space="preserve">. As shown in </w:t>
      </w:r>
      <w:r w:rsidR="005D7FC2">
        <w:rPr>
          <w:bCs/>
          <w:color w:val="000000" w:themeColor="text1"/>
          <w:sz w:val="24"/>
          <w:szCs w:val="24"/>
        </w:rPr>
        <w:fldChar w:fldCharType="begin"/>
      </w:r>
      <w:r w:rsidR="005D7FC2">
        <w:rPr>
          <w:color w:val="000000"/>
          <w:sz w:val="24"/>
        </w:rPr>
        <w:instrText xml:space="preserve"> REF _Ref171324285 \h </w:instrText>
      </w:r>
      <w:r w:rsidR="005D7FC2">
        <w:rPr>
          <w:bCs/>
          <w:color w:val="000000" w:themeColor="text1"/>
          <w:sz w:val="24"/>
          <w:szCs w:val="24"/>
        </w:rPr>
      </w:r>
      <w:r w:rsidR="005D7FC2">
        <w:rPr>
          <w:bCs/>
          <w:color w:val="000000" w:themeColor="text1"/>
          <w:sz w:val="24"/>
          <w:szCs w:val="24"/>
        </w:rPr>
        <w:fldChar w:fldCharType="separate"/>
      </w:r>
      <w:r w:rsidR="00BF6712" w:rsidRPr="001967BE">
        <w:rPr>
          <w:sz w:val="24"/>
          <w:szCs w:val="24"/>
        </w:rPr>
        <w:t xml:space="preserve">Fig. </w:t>
      </w:r>
      <w:r w:rsidR="00BF6712">
        <w:rPr>
          <w:noProof/>
          <w:sz w:val="24"/>
          <w:szCs w:val="24"/>
        </w:rPr>
        <w:t>3</w:t>
      </w:r>
      <w:r w:rsidR="005D7FC2">
        <w:rPr>
          <w:bCs/>
          <w:color w:val="000000" w:themeColor="text1"/>
          <w:sz w:val="24"/>
          <w:szCs w:val="24"/>
        </w:rPr>
        <w:fldChar w:fldCharType="end"/>
      </w:r>
      <w:r>
        <w:rPr>
          <w:color w:val="000000"/>
          <w:sz w:val="24"/>
        </w:rPr>
        <w:t>, when the geometric dimensions of a volumetric source are provided, point sources are uniformly sampled using the acceptance-rejection rule and Latin hypercube sampling methodology</w:t>
      </w:r>
      <w:r>
        <w:rPr>
          <w:sz w:val="24"/>
        </w:rPr>
        <w:t xml:space="preserve"> </w:t>
      </w:r>
      <w:r w:rsidR="004754F8">
        <w:rPr>
          <w:sz w:val="24"/>
        </w:rPr>
        <w:t>[27]</w:t>
      </w:r>
      <w:r>
        <w:rPr>
          <w:sz w:val="24"/>
        </w:rPr>
        <w:t xml:space="preserve">. In </w:t>
      </w:r>
      <w:r w:rsidR="005D7FC2">
        <w:rPr>
          <w:bCs/>
          <w:sz w:val="24"/>
          <w:szCs w:val="24"/>
        </w:rPr>
        <w:fldChar w:fldCharType="begin"/>
      </w:r>
      <w:r w:rsidR="005D7FC2">
        <w:rPr>
          <w:sz w:val="24"/>
        </w:rPr>
        <w:instrText xml:space="preserve"> REF _Ref171324285 \h </w:instrText>
      </w:r>
      <w:r w:rsidR="005D7FC2">
        <w:rPr>
          <w:bCs/>
          <w:sz w:val="24"/>
          <w:szCs w:val="24"/>
        </w:rPr>
      </w:r>
      <w:r w:rsidR="005D7FC2">
        <w:rPr>
          <w:bCs/>
          <w:sz w:val="24"/>
          <w:szCs w:val="24"/>
        </w:rPr>
        <w:fldChar w:fldCharType="separate"/>
      </w:r>
      <w:r w:rsidR="00BF6712" w:rsidRPr="001967BE">
        <w:rPr>
          <w:sz w:val="24"/>
          <w:szCs w:val="24"/>
        </w:rPr>
        <w:t xml:space="preserve">Fig. </w:t>
      </w:r>
      <w:r w:rsidR="00BF6712">
        <w:rPr>
          <w:noProof/>
          <w:sz w:val="24"/>
          <w:szCs w:val="24"/>
        </w:rPr>
        <w:t>3</w:t>
      </w:r>
      <w:r w:rsidR="005D7FC2">
        <w:rPr>
          <w:bCs/>
          <w:sz w:val="24"/>
          <w:szCs w:val="24"/>
        </w:rPr>
        <w:fldChar w:fldCharType="end"/>
      </w:r>
      <w:r>
        <w:rPr>
          <w:sz w:val="24"/>
        </w:rPr>
        <w:t>, the light and dark regions represent unit volumetric sources and volumetric sources based on the input values, respectively. Given the shape and volume of the source as input values, the process involves forming a unit volumetric source with all dimensions set to 1 and then sampling the point sources within it. Subsequently, the coordinates for each point source are expanded based on the input dimensions—radius, height, width, and depth—to derive the final coordinates of the point sources.</w:t>
      </w:r>
    </w:p>
    <w:p w14:paraId="3B452136" w14:textId="77777777" w:rsidR="00A43D6E" w:rsidRPr="00D51345" w:rsidRDefault="000D07EC">
      <w:pPr>
        <w:pStyle w:val="a9"/>
        <w:numPr>
          <w:ilvl w:val="2"/>
          <w:numId w:val="13"/>
        </w:numPr>
        <w:spacing w:after="200" w:line="480" w:lineRule="auto"/>
        <w:jc w:val="left"/>
        <w:rPr>
          <w:b/>
          <w:i/>
          <w:sz w:val="24"/>
        </w:rPr>
      </w:pPr>
      <w:r w:rsidRPr="00D51345">
        <w:rPr>
          <w:b/>
          <w:i/>
          <w:sz w:val="24"/>
        </w:rPr>
        <w:t>Dose Calculation Module</w:t>
      </w:r>
    </w:p>
    <w:p w14:paraId="3B452137" w14:textId="23B18F16" w:rsidR="00A43D6E" w:rsidRDefault="000D07EC">
      <w:pPr>
        <w:widowControl/>
        <w:spacing w:after="200" w:line="480" w:lineRule="auto"/>
        <w:ind w:firstLine="480"/>
        <w:jc w:val="left"/>
        <w:rPr>
          <w:color w:val="000000"/>
          <w:sz w:val="24"/>
          <w:lang w:eastAsia="ko-KR"/>
        </w:rPr>
      </w:pPr>
      <w:r>
        <w:rPr>
          <w:color w:val="000000"/>
          <w:sz w:val="24"/>
        </w:rPr>
        <w:t xml:space="preserve">The dose calculation module receives the radionuclide-specific radioactive concentrations and coordinates of the point sources from the concentration and sampling modules, respectively. It then calculates the doses from three exposure pathways: external, inhalation, and ingestion. </w:t>
      </w:r>
      <w:r>
        <w:rPr>
          <w:color w:val="000000"/>
          <w:sz w:val="24"/>
        </w:rPr>
        <w:lastRenderedPageBreak/>
        <w:t xml:space="preserve">For the internal dose, the dose assessment model of the IAEA, subsuming inhalation and ingestion exposures, was incorporated into RUCAS by using the following equations </w:t>
      </w:r>
      <w:r w:rsidR="00C93C28">
        <w:rPr>
          <w:rFonts w:hint="eastAsia"/>
          <w:color w:val="000000"/>
          <w:sz w:val="24"/>
          <w:lang w:eastAsia="ko-KR"/>
        </w:rPr>
        <w:t>[39]</w:t>
      </w:r>
    </w:p>
    <w:p w14:paraId="3B452138" w14:textId="55CE3D58" w:rsidR="00A43D6E" w:rsidRDefault="00000000" w:rsidP="00E1577D">
      <w:pPr>
        <w:widowControl/>
        <w:spacing w:after="200" w:line="480" w:lineRule="auto"/>
        <w:ind w:firstLine="12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INH</m:t>
            </m:r>
          </m:sub>
        </m:sSub>
        <m:r>
          <w:rPr>
            <w:rFonts w:ascii="Cambria Math" w:hAnsi="Cambria Math"/>
            <w:color w:val="000000" w:themeColor="text1"/>
            <w:sz w:val="24"/>
            <w:szCs w:val="24"/>
          </w:rPr>
          <m:t>=T×IH×DL×PF×RF×</m:t>
        </m:r>
        <m:nary>
          <m:naryPr>
            <m:chr m:val="∑"/>
            <m:limLoc m:val="undOvr"/>
            <m:supHide m:val="1"/>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e>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 1 year</m:t>
                </m:r>
              </m:sub>
            </m:sSub>
            <m:r>
              <w:rPr>
                <w:rFonts w:ascii="Cambria Math" w:hAnsi="Cambria Math"/>
                <w:color w:val="000000" w:themeColor="text1"/>
                <w:sz w:val="24"/>
                <w:szCs w:val="24"/>
              </w:rPr>
              <m:t>×DC</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INH,i</m:t>
                </m:r>
              </m:sub>
            </m:sSub>
            <m:r>
              <w:rPr>
                <w:rFonts w:ascii="Cambria Math" w:hAnsi="Cambria Math"/>
                <w:color w:val="000000" w:themeColor="text1"/>
                <w:sz w:val="24"/>
                <w:szCs w:val="24"/>
              </w:rPr>
              <m:t>)</m:t>
            </m:r>
          </m:e>
        </m:nary>
      </m:oMath>
      <w:r w:rsidR="00A606F1">
        <w:rPr>
          <w:color w:val="000000" w:themeColor="text1"/>
          <w:sz w:val="24"/>
          <w:szCs w:val="24"/>
        </w:rPr>
        <w:t>,</w:t>
      </w:r>
      <w:r w:rsidR="00F5297D">
        <w:rPr>
          <w:color w:val="000000"/>
          <w:sz w:val="24"/>
        </w:rPr>
        <w:tab/>
      </w:r>
      <w:r w:rsidR="00F5297D">
        <w:rPr>
          <w:color w:val="000000"/>
          <w:sz w:val="24"/>
        </w:rPr>
        <w:tab/>
      </w:r>
      <w:r w:rsidR="00F5297D">
        <w:rPr>
          <w:color w:val="000000"/>
          <w:sz w:val="24"/>
        </w:rPr>
        <w:tab/>
        <w:t>(5)</w:t>
      </w:r>
    </w:p>
    <w:p w14:paraId="3B452139" w14:textId="64144889" w:rsidR="00A43D6E" w:rsidRDefault="00000000" w:rsidP="00E1577D">
      <w:pPr>
        <w:widowControl/>
        <w:spacing w:after="200" w:line="480" w:lineRule="auto"/>
        <w:ind w:firstLine="12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ING</m:t>
            </m:r>
          </m:sub>
        </m:sSub>
        <m:r>
          <w:rPr>
            <w:rFonts w:ascii="Cambria Math" w:hAnsi="Cambria Math"/>
            <w:color w:val="000000" w:themeColor="text1"/>
            <w:sz w:val="24"/>
            <w:szCs w:val="24"/>
          </w:rPr>
          <m:t>=T×</m:t>
        </m:r>
        <m:nary>
          <m:naryPr>
            <m:chr m:val="∑"/>
            <m:limLoc m:val="undOvr"/>
            <m:supHide m:val="1"/>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 1 year</m:t>
                    </m:r>
                  </m:sub>
                </m:sSub>
                <m:r>
                  <w:rPr>
                    <w:rFonts w:ascii="Cambria Math" w:hAnsi="Cambria Math"/>
                    <w:color w:val="000000" w:themeColor="text1"/>
                    <w:sz w:val="24"/>
                    <w:szCs w:val="24"/>
                  </w:rPr>
                  <m:t>×DC</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ING,i</m:t>
                    </m:r>
                  </m:sub>
                </m:sSub>
              </m:e>
            </m:d>
          </m:e>
        </m:nary>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IH×DL×PF×</m:t>
            </m:r>
            <m:d>
              <m:dPr>
                <m:ctrlPr>
                  <w:rPr>
                    <w:rFonts w:ascii="Cambria Math" w:hAnsi="Cambria Math"/>
                    <w:i/>
                    <w:color w:val="000000" w:themeColor="text1"/>
                    <w:sz w:val="24"/>
                    <w:szCs w:val="24"/>
                  </w:rPr>
                </m:ctrlPr>
              </m:dPr>
              <m:e>
                <m:r>
                  <w:rPr>
                    <w:rFonts w:ascii="Cambria Math" w:hAnsi="Cambria Math"/>
                    <w:color w:val="000000" w:themeColor="text1"/>
                    <w:sz w:val="24"/>
                    <w:szCs w:val="24"/>
                  </w:rPr>
                  <m:t>1-RF</m:t>
                </m:r>
              </m:e>
            </m:d>
            <m:r>
              <w:rPr>
                <w:rFonts w:ascii="Cambria Math" w:hAnsi="Cambria Math"/>
                <w:color w:val="000000" w:themeColor="text1"/>
                <w:sz w:val="24"/>
                <w:szCs w:val="24"/>
              </w:rPr>
              <m:t>+IG</m:t>
            </m:r>
          </m:e>
        </m:d>
        <m:r>
          <w:rPr>
            <w:rFonts w:ascii="Cambria Math" w:hAnsi="Cambria Math"/>
            <w:color w:val="000000" w:themeColor="text1"/>
            <w:sz w:val="24"/>
            <w:szCs w:val="24"/>
          </w:rPr>
          <m:t>,</m:t>
        </m:r>
      </m:oMath>
      <w:r w:rsidR="00F5297D">
        <w:rPr>
          <w:color w:val="000000"/>
          <w:sz w:val="24"/>
        </w:rPr>
        <w:tab/>
        <w:t>(6)</w:t>
      </w:r>
    </w:p>
    <w:p w14:paraId="3B45213A" w14:textId="0636F4E3" w:rsidR="00A43D6E" w:rsidRDefault="000D07EC">
      <w:pPr>
        <w:widowControl/>
        <w:spacing w:after="200" w:line="480" w:lineRule="auto"/>
        <w:jc w:val="left"/>
        <w:rPr>
          <w:color w:val="000000"/>
          <w:sz w:val="24"/>
        </w:rPr>
      </w:pPr>
      <w:r>
        <w:rPr>
          <w:color w:val="000000"/>
          <w:sz w:val="24"/>
        </w:rPr>
        <w:t xml:space="preserve">where the subscripts </w:t>
      </w:r>
      <m:oMath>
        <m:r>
          <w:rPr>
            <w:rFonts w:ascii="Cambria Math" w:hAnsi="Cambria Math" w:hint="eastAsia"/>
            <w:color w:val="000000" w:themeColor="text1"/>
            <w:sz w:val="24"/>
            <w:szCs w:val="24"/>
          </w:rPr>
          <m:t>INH</m:t>
        </m:r>
      </m:oMath>
      <w:r>
        <w:rPr>
          <w:color w:val="000000"/>
          <w:sz w:val="24"/>
        </w:rPr>
        <w:t xml:space="preserve"> and </w:t>
      </w:r>
      <m:oMath>
        <m:r>
          <w:rPr>
            <w:rFonts w:ascii="Cambria Math" w:hAnsi="Cambria Math" w:hint="eastAsia"/>
            <w:color w:val="000000" w:themeColor="text1"/>
            <w:sz w:val="24"/>
            <w:szCs w:val="24"/>
          </w:rPr>
          <m:t>ING</m:t>
        </m:r>
      </m:oMath>
      <w:r>
        <w:rPr>
          <w:color w:val="000000"/>
          <w:sz w:val="24"/>
        </w:rPr>
        <w:t xml:space="preserve"> represent the exposure pathways of inhalation and ingestion, respectively</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H</m:t>
        </m:r>
      </m:oMath>
      <w:r>
        <w:rPr>
          <w:color w:val="000000"/>
          <w:sz w:val="24"/>
        </w:rPr>
        <w:t xml:space="preserve"> denotes the annual effective dose equivalent (</w:t>
      </w:r>
      <m:oMath>
        <m:r>
          <w:rPr>
            <w:rFonts w:ascii="Cambria Math" w:hAnsi="Cambria Math"/>
            <w:color w:val="000000" w:themeColor="text1"/>
            <w:sz w:val="24"/>
            <w:szCs w:val="24"/>
          </w:rPr>
          <m:t>Sv/yr</m:t>
        </m:r>
      </m:oMath>
      <w:r>
        <w:rPr>
          <w:color w:val="000000"/>
          <w:sz w:val="24"/>
        </w:rPr>
        <w:t>)</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T</m:t>
        </m:r>
      </m:oMath>
      <w:r>
        <w:rPr>
          <w:color w:val="000000"/>
          <w:sz w:val="24"/>
        </w:rPr>
        <w:t xml:space="preserve"> is the annual exposure duration (</w:t>
      </w:r>
      <m:oMath>
        <m:r>
          <w:rPr>
            <w:rFonts w:ascii="Cambria Math" w:hAnsi="Cambria Math"/>
            <w:color w:val="000000" w:themeColor="text1"/>
            <w:sz w:val="24"/>
            <w:szCs w:val="24"/>
          </w:rPr>
          <m:t>h/yr</m:t>
        </m:r>
      </m:oMath>
      <w:r>
        <w:rPr>
          <w:color w:val="000000"/>
          <w:sz w:val="24"/>
        </w:rPr>
        <w:t>)</w:t>
      </w:r>
      <w:r w:rsidR="00A606F1">
        <w:rPr>
          <w:color w:val="000000"/>
          <w:sz w:val="24"/>
        </w:rPr>
        <w:t>,</w:t>
      </w:r>
      <w:r>
        <w:rPr>
          <w:color w:val="000000"/>
          <w:sz w:val="24"/>
        </w:rPr>
        <w:t xml:space="preserve"> </w:t>
      </w:r>
      <m:oMath>
        <m:r>
          <w:rPr>
            <w:rFonts w:ascii="Cambria Math" w:hAnsi="Cambria Math"/>
            <w:color w:val="000000" w:themeColor="text1"/>
            <w:sz w:val="24"/>
            <w:szCs w:val="24"/>
          </w:rPr>
          <m:t>IH</m:t>
        </m:r>
      </m:oMath>
      <w:r>
        <w:rPr>
          <w:color w:val="000000"/>
          <w:sz w:val="24"/>
        </w:rPr>
        <w:t xml:space="preserve"> is the inhalation rate (</w:t>
      </w:r>
      <m:oMath>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3</m:t>
            </m:r>
          </m:sup>
        </m:sSup>
        <m:r>
          <w:rPr>
            <w:rFonts w:ascii="Cambria Math" w:hAnsi="Cambria Math"/>
            <w:color w:val="000000" w:themeColor="text1"/>
            <w:sz w:val="24"/>
            <w:szCs w:val="24"/>
          </w:rPr>
          <m:t>/h</m:t>
        </m:r>
      </m:oMath>
      <w:r>
        <w:rPr>
          <w:color w:val="000000"/>
          <w:sz w:val="24"/>
        </w:rPr>
        <w:t>)</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IG</m:t>
        </m:r>
      </m:oMath>
      <w:r>
        <w:rPr>
          <w:color w:val="000000"/>
          <w:sz w:val="24"/>
        </w:rPr>
        <w:t xml:space="preserve"> is the ingestion rate (</w:t>
      </w:r>
      <m:oMath>
        <m:r>
          <w:rPr>
            <w:rFonts w:ascii="Cambria Math" w:hAnsi="Cambria Math"/>
            <w:color w:val="000000" w:themeColor="text1"/>
            <w:sz w:val="24"/>
            <w:szCs w:val="24"/>
          </w:rPr>
          <m:t>g/h</m:t>
        </m:r>
      </m:oMath>
      <w:r>
        <w:rPr>
          <w:color w:val="000000"/>
          <w:sz w:val="24"/>
        </w:rPr>
        <w:t>)</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DL</m:t>
        </m:r>
      </m:oMath>
      <w:r>
        <w:rPr>
          <w:color w:val="000000"/>
          <w:sz w:val="24"/>
        </w:rPr>
        <w:t xml:space="preserve"> represents the dust loading in the air (</w:t>
      </w:r>
      <m:oMath>
        <m:r>
          <w:rPr>
            <w:rFonts w:ascii="Cambria Math" w:hAnsi="Cambria Math"/>
            <w:color w:val="000000" w:themeColor="text1"/>
            <w:sz w:val="24"/>
            <w:szCs w:val="24"/>
          </w:rPr>
          <m:t>g/</m:t>
        </m:r>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3</m:t>
            </m:r>
          </m:sup>
        </m:sSup>
      </m:oMath>
      <w:r>
        <w:rPr>
          <w:color w:val="000000"/>
          <w:sz w:val="24"/>
        </w:rPr>
        <w:t>)</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PF</m:t>
        </m:r>
      </m:oMath>
      <w:r>
        <w:rPr>
          <w:color w:val="000000"/>
          <w:sz w:val="24"/>
        </w:rPr>
        <w:t xml:space="preserve"> denotes the respiratory protection afforded by personal protective equipment</w:t>
      </w:r>
      <w:r w:rsidR="00A606F1">
        <w:rPr>
          <w:color w:val="000000"/>
          <w:sz w:val="24"/>
        </w:rPr>
        <w:t>,</w:t>
      </w:r>
      <w:r>
        <w:rPr>
          <w:color w:val="000000"/>
          <w:sz w:val="24"/>
        </w:rPr>
        <w:t xml:space="preserve"> </w:t>
      </w:r>
      <m:oMath>
        <m:r>
          <w:rPr>
            <w:rFonts w:ascii="Cambria Math" w:hAnsi="Cambria Math" w:hint="eastAsia"/>
            <w:color w:val="000000" w:themeColor="text1"/>
            <w:sz w:val="24"/>
            <w:szCs w:val="24"/>
          </w:rPr>
          <m:t>RF</m:t>
        </m:r>
      </m:oMath>
      <w:r>
        <w:rPr>
          <w:color w:val="000000"/>
          <w:sz w:val="24"/>
        </w:rPr>
        <w:t xml:space="preserve"> is the respirable fraction</w:t>
      </w:r>
      <w:r w:rsidR="00A606F1">
        <w:rPr>
          <w:color w:val="000000"/>
          <w:sz w:val="24"/>
        </w:rPr>
        <w:t>,</w:t>
      </w:r>
      <w:r>
        <w:rPr>
          <w:color w:val="000000"/>
          <w:sz w:val="24"/>
        </w:rPr>
        <w:t xml:space="preserve"> and </w:t>
      </w:r>
      <m:oMath>
        <m:r>
          <w:rPr>
            <w:rFonts w:ascii="Cambria Math" w:hAnsi="Cambria Math" w:hint="eastAsia"/>
            <w:color w:val="000000" w:themeColor="text1"/>
            <w:sz w:val="24"/>
            <w:szCs w:val="24"/>
          </w:rPr>
          <m:t>DCF</m:t>
        </m:r>
      </m:oMath>
      <w:r>
        <w:rPr>
          <w:color w:val="000000"/>
          <w:sz w:val="24"/>
        </w:rPr>
        <w:t xml:space="preserve"> represents the dose conversion factor (DCF) of radionuclide </w:t>
      </w:r>
      <m:oMath>
        <m:r>
          <w:rPr>
            <w:rFonts w:ascii="Cambria Math" w:hAnsi="Cambria Math" w:hint="eastAsia"/>
            <w:color w:val="000000" w:themeColor="text1"/>
            <w:sz w:val="24"/>
            <w:szCs w:val="24"/>
          </w:rPr>
          <m:t>i</m:t>
        </m:r>
      </m:oMath>
      <w:r>
        <w:rPr>
          <w:color w:val="000000"/>
          <w:sz w:val="24"/>
        </w:rPr>
        <w:t xml:space="preserve"> (</w:t>
      </w:r>
      <m:oMath>
        <m:r>
          <w:rPr>
            <w:rFonts w:ascii="Cambria Math" w:hAnsi="Cambria Math"/>
            <w:color w:val="000000" w:themeColor="text1"/>
            <w:sz w:val="24"/>
            <w:szCs w:val="24"/>
          </w:rPr>
          <m:t>Sv/Bq</m:t>
        </m:r>
      </m:oMath>
      <w:r>
        <w:rPr>
          <w:color w:val="000000"/>
          <w:sz w:val="24"/>
        </w:rPr>
        <w:t>).</w:t>
      </w:r>
    </w:p>
    <w:p w14:paraId="3B45213B" w14:textId="76F3D821" w:rsidR="00A43D6E" w:rsidRDefault="000D07EC">
      <w:pPr>
        <w:widowControl/>
        <w:spacing w:after="200" w:line="480" w:lineRule="auto"/>
        <w:ind w:firstLine="480"/>
        <w:jc w:val="left"/>
        <w:rPr>
          <w:color w:val="000000"/>
          <w:sz w:val="24"/>
        </w:rPr>
      </w:pPr>
      <w:r>
        <w:rPr>
          <w:color w:val="000000"/>
          <w:sz w:val="24"/>
        </w:rPr>
        <w:t xml:space="preserve">For the external dose, the annual effective dose equivalent </w:t>
      </w:r>
      <m:oMath>
        <m:r>
          <w:rPr>
            <w:rFonts w:ascii="Cambria Math" w:hAnsi="Cambria Math" w:hint="eastAsia"/>
            <w:color w:val="000000" w:themeColor="text1"/>
            <w:sz w:val="24"/>
            <w:szCs w:val="24"/>
          </w:rPr>
          <m:t>H</m:t>
        </m:r>
      </m:oMath>
      <w:r>
        <w:rPr>
          <w:color w:val="000000"/>
          <w:sz w:val="24"/>
        </w:rPr>
        <w:t xml:space="preserve"> can be expressed as the product of the total radioactivity of radionuclide </w:t>
      </w:r>
      <m:oMath>
        <m:r>
          <w:rPr>
            <w:rFonts w:ascii="Cambria Math" w:hAnsi="Cambria Math" w:hint="eastAsia"/>
            <w:color w:val="000000" w:themeColor="text1"/>
            <w:sz w:val="24"/>
            <w:szCs w:val="24"/>
          </w:rPr>
          <m:t>i</m:t>
        </m:r>
      </m:oMath>
      <w:r>
        <w:rPr>
          <w:color w:val="000000"/>
          <w:sz w:val="24"/>
        </w:rPr>
        <w:t xml:space="preserve"> at the source, dose rate for radionuclide </w:t>
      </w:r>
      <m:oMath>
        <m:r>
          <w:rPr>
            <w:rFonts w:ascii="Cambria Math" w:hAnsi="Cambria Math" w:hint="eastAsia"/>
            <w:color w:val="000000" w:themeColor="text1"/>
            <w:sz w:val="24"/>
            <w:szCs w:val="24"/>
          </w:rPr>
          <m:t>i</m:t>
        </m:r>
      </m:oMath>
      <w:r>
        <w:rPr>
          <w:color w:val="000000"/>
          <w:sz w:val="24"/>
        </w:rPr>
        <w:t xml:space="preserve">, </w:t>
      </w:r>
      <m:oMath>
        <m:r>
          <w:rPr>
            <w:rFonts w:ascii="Cambria Math" w:hAnsi="Cambria Math" w:hint="eastAsia"/>
            <w:color w:val="000000" w:themeColor="text1"/>
            <w:sz w:val="24"/>
            <w:szCs w:val="24"/>
          </w:rPr>
          <m:t>D</m:t>
        </m:r>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R</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i</m:t>
            </m:r>
          </m:sub>
        </m:sSub>
      </m:oMath>
      <w:r>
        <w:rPr>
          <w:color w:val="000000"/>
          <w:sz w:val="24"/>
        </w:rPr>
        <w:t xml:space="preserve"> (Sv/h), and exposure duration </w:t>
      </w:r>
      <m:oMath>
        <m:r>
          <w:rPr>
            <w:rFonts w:ascii="Cambria Math" w:hAnsi="Cambria Math" w:hint="eastAsia"/>
            <w:color w:val="000000" w:themeColor="text1"/>
            <w:sz w:val="24"/>
            <w:szCs w:val="24"/>
          </w:rPr>
          <m:t>T</m:t>
        </m:r>
      </m:oMath>
      <w:r>
        <w:rPr>
          <w:color w:val="000000"/>
          <w:sz w:val="24"/>
        </w:rPr>
        <w:t>, as shown in the following equation:</w:t>
      </w:r>
    </w:p>
    <w:p w14:paraId="3B45213C" w14:textId="055D6DC7" w:rsidR="00A43D6E" w:rsidRDefault="00000000" w:rsidP="00E1577D">
      <w:pPr>
        <w:widowControl/>
        <w:spacing w:after="200" w:line="480" w:lineRule="auto"/>
        <w:ind w:firstLine="120"/>
        <w:jc w:val="center"/>
        <w:rPr>
          <w:color w:val="000000"/>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ext</m:t>
            </m:r>
          </m:sub>
        </m:sSub>
        <m:r>
          <w:rPr>
            <w:rFonts w:ascii="Cambria Math" w:hAnsi="Cambria Math"/>
            <w:color w:val="000000" w:themeColor="text1"/>
            <w:sz w:val="24"/>
            <w:szCs w:val="24"/>
          </w:rPr>
          <m:t>=</m:t>
        </m:r>
        <m:nary>
          <m:naryPr>
            <m:chr m:val="∑"/>
            <m:limLoc m:val="undOvr"/>
            <m:supHide m:val="1"/>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i,1 year</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source</m:t>
                </m:r>
              </m:sub>
            </m:sSub>
            <m:r>
              <w:rPr>
                <w:rFonts w:ascii="Cambria Math" w:hAnsi="Cambria Math"/>
                <w:color w:val="000000" w:themeColor="text1"/>
                <w:sz w:val="24"/>
                <w:szCs w:val="24"/>
              </w:rPr>
              <m:t>×D</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i</m:t>
                </m:r>
              </m:sub>
            </m:sSub>
          </m:e>
        </m:nary>
        <m:r>
          <w:rPr>
            <w:rFonts w:ascii="Cambria Math" w:hAnsi="Cambria Math"/>
            <w:color w:val="000000" w:themeColor="text1"/>
            <w:sz w:val="24"/>
            <w:szCs w:val="24"/>
          </w:rPr>
          <m:t>×T,</m:t>
        </m:r>
      </m:oMath>
      <w:r w:rsidR="00F5297D">
        <w:rPr>
          <w:color w:val="000000"/>
          <w:sz w:val="24"/>
        </w:rPr>
        <w:tab/>
      </w:r>
      <w:r w:rsidR="00F5297D">
        <w:rPr>
          <w:color w:val="000000"/>
          <w:sz w:val="24"/>
        </w:rPr>
        <w:tab/>
      </w:r>
      <w:r w:rsidR="00F5297D">
        <w:rPr>
          <w:color w:val="000000"/>
          <w:sz w:val="24"/>
        </w:rPr>
        <w:tab/>
      </w:r>
      <w:r w:rsidR="00F5297D">
        <w:rPr>
          <w:color w:val="000000"/>
          <w:sz w:val="24"/>
        </w:rPr>
        <w:tab/>
      </w:r>
      <w:r w:rsidR="00F5297D">
        <w:rPr>
          <w:color w:val="000000"/>
          <w:sz w:val="24"/>
        </w:rPr>
        <w:tab/>
        <w:t>(7)</w:t>
      </w:r>
    </w:p>
    <w:p w14:paraId="3B45213D" w14:textId="705D6DB9" w:rsidR="00A43D6E" w:rsidRDefault="000D07EC">
      <w:pPr>
        <w:widowControl/>
        <w:spacing w:after="200" w:line="480" w:lineRule="auto"/>
        <w:jc w:val="left"/>
        <w:rPr>
          <w:sz w:val="24"/>
        </w:rPr>
      </w:pPr>
      <w:r>
        <w:rPr>
          <w:color w:val="000000"/>
          <w:sz w:val="24"/>
        </w:rPr>
        <w:t xml:space="preserve">where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M</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source</m:t>
            </m:r>
          </m:sub>
        </m:sSub>
      </m:oMath>
      <w:r>
        <w:rPr>
          <w:color w:val="000000"/>
          <w:sz w:val="24"/>
        </w:rPr>
        <w:t xml:space="preserve"> is the total mass of the radioactive source. The dose rate for radionuclide </w:t>
      </w:r>
      <m:oMath>
        <m:r>
          <w:rPr>
            <w:rFonts w:ascii="Cambria Math" w:hAnsi="Cambria Math" w:hint="eastAsia"/>
            <w:color w:val="000000" w:themeColor="text1"/>
            <w:sz w:val="24"/>
            <w:szCs w:val="24"/>
          </w:rPr>
          <m:t>i</m:t>
        </m:r>
      </m:oMath>
      <w:r>
        <w:rPr>
          <w:color w:val="000000"/>
          <w:sz w:val="24"/>
        </w:rPr>
        <w:t xml:space="preserve">, </w:t>
      </w:r>
      <m:oMath>
        <m:r>
          <w:rPr>
            <w:rFonts w:ascii="Cambria Math" w:hAnsi="Cambria Math"/>
            <w:color w:val="000000" w:themeColor="text1"/>
            <w:sz w:val="24"/>
            <w:szCs w:val="24"/>
          </w:rPr>
          <m:t>D</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i</m:t>
            </m:r>
          </m:sub>
        </m:sSub>
      </m:oMath>
      <w:r>
        <w:rPr>
          <w:color w:val="000000"/>
          <w:sz w:val="24"/>
        </w:rPr>
        <w:t xml:space="preserve"> can be expressed as the product of the annual photon flux from the gamma energy </w:t>
      </w:r>
      <w:r>
        <w:rPr>
          <w:sz w:val="24"/>
        </w:rPr>
        <w:t xml:space="preserve">group, </w:t>
      </w:r>
      <m:oMath>
        <m:sSub>
          <m:sSubPr>
            <m:ctrlPr>
              <w:rPr>
                <w:rFonts w:ascii="Cambria Math" w:hAnsi="Cambria Math"/>
                <w:bCs/>
                <w:i/>
                <w:sz w:val="24"/>
                <w:szCs w:val="24"/>
              </w:rPr>
            </m:ctrlPr>
          </m:sSubPr>
          <m:e>
            <m:r>
              <w:rPr>
                <w:rFonts w:ascii="Cambria Math" w:hAnsi="Cambria Math"/>
                <w:sz w:val="24"/>
                <w:szCs w:val="24"/>
              </w:rPr>
              <m:t>ϕ</m:t>
            </m:r>
          </m:e>
          <m:sub>
            <m:r>
              <w:rPr>
                <w:rFonts w:ascii="Cambria Math" w:hAnsi="Cambria Math"/>
                <w:sz w:val="24"/>
                <w:szCs w:val="24"/>
              </w:rPr>
              <m:t>E</m:t>
            </m:r>
          </m:sub>
        </m:sSub>
      </m:oMath>
      <w:r>
        <w:rPr>
          <w:sz w:val="24"/>
        </w:rPr>
        <w:t xml:space="preserve"> (</w:t>
      </w:r>
      <m:oMath>
        <m:r>
          <w:rPr>
            <w:rFonts w:ascii="Cambria Math" w:hAnsi="Cambria Math"/>
            <w:sz w:val="24"/>
            <w:szCs w:val="24"/>
          </w:rPr>
          <m:t>c</m:t>
        </m:r>
        <m:sSup>
          <m:sSupPr>
            <m:ctrlPr>
              <w:rPr>
                <w:rFonts w:ascii="Cambria Math" w:hAnsi="Cambria Math"/>
                <w:bCs/>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∙y</m:t>
        </m:r>
        <m:sSup>
          <m:sSupPr>
            <m:ctrlPr>
              <w:rPr>
                <w:rFonts w:ascii="Cambria Math" w:hAnsi="Cambria Math"/>
                <w:bCs/>
                <w:i/>
                <w:sz w:val="24"/>
                <w:szCs w:val="24"/>
              </w:rPr>
            </m:ctrlPr>
          </m:sSupPr>
          <m:e>
            <m:r>
              <w:rPr>
                <w:rFonts w:ascii="Cambria Math" w:hAnsi="Cambria Math"/>
                <w:sz w:val="24"/>
                <w:szCs w:val="24"/>
              </w:rPr>
              <m:t>r</m:t>
            </m:r>
          </m:e>
          <m:sup>
            <m:r>
              <w:rPr>
                <w:rFonts w:ascii="Cambria Math" w:hAnsi="Cambria Math"/>
                <w:sz w:val="24"/>
                <w:szCs w:val="24"/>
              </w:rPr>
              <m:t>-1</m:t>
            </m:r>
          </m:sup>
        </m:sSup>
      </m:oMath>
      <w:r>
        <w:rPr>
          <w:sz w:val="24"/>
        </w:rPr>
        <w:t xml:space="preserve">), and the flux-dose conversion coefficient by the gamma energy group, </w:t>
      </w:r>
      <m:oMath>
        <m:sSub>
          <m:sSubPr>
            <m:ctrlPr>
              <w:rPr>
                <w:rFonts w:ascii="Cambria Math" w:eastAsia="MS Gothic" w:hAnsi="MS Gothic" w:cs="MS Gothic"/>
                <w:bCs/>
                <w:i/>
                <w:sz w:val="24"/>
                <w:szCs w:val="24"/>
              </w:rPr>
            </m:ctrlPr>
          </m:sSubPr>
          <m:e>
            <m:r>
              <w:rPr>
                <w:rFonts w:ascii="Cambria Math" w:eastAsia="MS Gothic" w:hAnsi="Cambria Math" w:cs="MS Gothic"/>
                <w:sz w:val="24"/>
                <w:szCs w:val="24"/>
              </w:rPr>
              <m:t>h</m:t>
            </m:r>
            <m:ctrlPr>
              <w:rPr>
                <w:rFonts w:ascii="Cambria Math" w:eastAsia="MS Gothic" w:hAnsi="Cambria Math" w:cs="MS Gothic" w:hint="eastAsia"/>
                <w:bCs/>
                <w:i/>
                <w:sz w:val="24"/>
                <w:szCs w:val="24"/>
              </w:rPr>
            </m:ctrlPr>
          </m:e>
          <m:sub>
            <m:r>
              <w:rPr>
                <w:rFonts w:ascii="Cambria Math" w:eastAsia="MS Gothic" w:hAnsi="Cambria Math" w:cs="MS Gothic"/>
                <w:sz w:val="24"/>
                <w:szCs w:val="24"/>
              </w:rPr>
              <m:t>E</m:t>
            </m:r>
          </m:sub>
        </m:sSub>
      </m:oMath>
      <w:r>
        <w:rPr>
          <w:sz w:val="24"/>
        </w:rPr>
        <w:t xml:space="preserve"> (</w:t>
      </w:r>
      <m:oMath>
        <m:r>
          <w:rPr>
            <w:rFonts w:ascii="Cambria Math" w:hAnsi="Cambria Math"/>
            <w:sz w:val="24"/>
            <w:szCs w:val="24"/>
          </w:rPr>
          <m:t>Sv∙c</m:t>
        </m:r>
        <m:sSup>
          <m:sSupPr>
            <m:ctrlPr>
              <w:rPr>
                <w:rFonts w:ascii="Cambria Math" w:hAnsi="Cambria Math"/>
                <w:bCs/>
                <w:i/>
                <w:sz w:val="24"/>
                <w:szCs w:val="24"/>
              </w:rPr>
            </m:ctrlPr>
          </m:sSupPr>
          <m:e>
            <m:r>
              <w:rPr>
                <w:rFonts w:ascii="Cambria Math" w:hAnsi="Cambria Math"/>
                <w:sz w:val="24"/>
                <w:szCs w:val="24"/>
              </w:rPr>
              <m:t>m</m:t>
            </m:r>
          </m:e>
          <m:sup>
            <m:r>
              <w:rPr>
                <w:rFonts w:ascii="Cambria Math" w:hAnsi="Cambria Math"/>
                <w:sz w:val="24"/>
                <w:szCs w:val="24"/>
              </w:rPr>
              <m:t>2</m:t>
            </m:r>
          </m:sup>
        </m:sSup>
      </m:oMath>
      <w:r>
        <w:rPr>
          <w:sz w:val="24"/>
        </w:rPr>
        <w:t xml:space="preserve">) </w:t>
      </w:r>
      <w:r w:rsidR="004754F8">
        <w:rPr>
          <w:sz w:val="24"/>
        </w:rPr>
        <w:t>[28,23]</w:t>
      </w:r>
      <w:r>
        <w:rPr>
          <w:sz w:val="24"/>
        </w:rPr>
        <w:t xml:space="preserve">. According to the PK method, the sum of the flux from each point source can be derived by separating the volumetric source into numerous </w:t>
      </w:r>
      <w:proofErr w:type="gramStart"/>
      <w:r>
        <w:rPr>
          <w:sz w:val="24"/>
        </w:rPr>
        <w:t>point</w:t>
      </w:r>
      <w:proofErr w:type="gramEnd"/>
      <w:r>
        <w:rPr>
          <w:sz w:val="24"/>
        </w:rPr>
        <w:t xml:space="preserve"> sources, as follows </w:t>
      </w:r>
      <w:r w:rsidR="004754F8">
        <w:rPr>
          <w:sz w:val="24"/>
        </w:rPr>
        <w:t>[26]</w:t>
      </w:r>
      <w:r>
        <w:rPr>
          <w:sz w:val="24"/>
        </w:rPr>
        <w:t>:</w:t>
      </w:r>
    </w:p>
    <w:p w14:paraId="3B45213E" w14:textId="00E5479F" w:rsidR="00A43D6E" w:rsidRDefault="000D07EC" w:rsidP="00E1577D">
      <w:pPr>
        <w:widowControl/>
        <w:spacing w:after="200" w:line="480" w:lineRule="auto"/>
        <w:jc w:val="center"/>
        <w:rPr>
          <w:color w:val="000000"/>
          <w:sz w:val="24"/>
        </w:rPr>
      </w:pPr>
      <m:oMath>
        <m:r>
          <w:rPr>
            <w:rFonts w:ascii="Cambria Math" w:hAnsi="Cambria Math"/>
            <w:color w:val="000000" w:themeColor="text1"/>
            <w:sz w:val="24"/>
            <w:szCs w:val="24"/>
          </w:rPr>
          <m:t>DR=</m:t>
        </m:r>
        <m:nary>
          <m:naryPr>
            <m:chr m:val="∑"/>
            <m:limLoc m:val="undOvr"/>
            <m:supHide m:val="1"/>
            <m:ctrlPr>
              <w:rPr>
                <w:rFonts w:ascii="Cambria Math" w:hAnsi="Cambria Math"/>
                <w:bCs/>
                <w:i/>
                <w:color w:val="000000" w:themeColor="text1"/>
                <w:sz w:val="24"/>
                <w:szCs w:val="24"/>
              </w:rPr>
            </m:ctrlPr>
          </m:naryPr>
          <m:sub>
            <m:r>
              <w:rPr>
                <w:rFonts w:ascii="Cambria Math" w:hAnsi="Cambria Math"/>
                <w:color w:val="000000" w:themeColor="text1"/>
                <w:sz w:val="24"/>
                <w:szCs w:val="24"/>
              </w:rPr>
              <m:t>E</m:t>
            </m:r>
          </m:sub>
          <m:sup/>
          <m:e>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E</m:t>
                </m:r>
              </m:sub>
            </m:sSub>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ϕ</m:t>
                </m:r>
              </m:e>
              <m:sub>
                <m:r>
                  <w:rPr>
                    <w:rFonts w:ascii="Cambria Math" w:hAnsi="Cambria Math"/>
                    <w:color w:val="000000" w:themeColor="text1"/>
                    <w:sz w:val="24"/>
                    <w:szCs w:val="24"/>
                  </w:rPr>
                  <m:t>E</m:t>
                </m:r>
              </m:sub>
            </m:sSub>
          </m:e>
        </m:nary>
        <m:r>
          <w:rPr>
            <w:rFonts w:ascii="Cambria Math" w:hAnsi="Cambria Math"/>
            <w:color w:val="000000" w:themeColor="text1"/>
            <w:sz w:val="24"/>
            <w:szCs w:val="24"/>
          </w:rPr>
          <m:t>,</m:t>
        </m:r>
      </m:oMath>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(8)</w:t>
      </w:r>
    </w:p>
    <w:p w14:paraId="3B45213F" w14:textId="45545BB7" w:rsidR="00A43D6E" w:rsidRDefault="00000000" w:rsidP="00E1577D">
      <w:pPr>
        <w:widowControl/>
        <w:spacing w:after="200" w:line="480" w:lineRule="auto"/>
        <w:jc w:val="center"/>
        <w:rPr>
          <w:sz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ϕ</m:t>
            </m:r>
          </m:e>
          <m:sub>
            <m:r>
              <w:rPr>
                <w:rFonts w:ascii="Cambria Math" w:hAnsi="Cambria Math"/>
                <w:color w:val="000000" w:themeColor="text1"/>
                <w:sz w:val="24"/>
                <w:szCs w:val="24"/>
              </w:rPr>
              <m:t>E</m:t>
            </m:r>
          </m:sub>
        </m:sSub>
        <m:r>
          <w:rPr>
            <w:rFonts w:ascii="Cambria Math" w:hAnsi="Cambria Math"/>
            <w:color w:val="000000" w:themeColor="text1"/>
            <w:sz w:val="24"/>
            <w:szCs w:val="24"/>
          </w:rPr>
          <m:t>=</m:t>
        </m:r>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s=1</m:t>
            </m:r>
          </m:sub>
          <m:sup>
            <m:r>
              <w:rPr>
                <w:rFonts w:ascii="Cambria Math" w:hAnsi="Cambria Math"/>
                <w:color w:val="000000" w:themeColor="text1"/>
                <w:sz w:val="24"/>
                <w:szCs w:val="24"/>
              </w:rPr>
              <m:t>N</m:t>
            </m:r>
          </m:sup>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W</m:t>
                    </m:r>
                  </m:e>
                  <m:sub>
                    <m:r>
                      <w:rPr>
                        <w:rFonts w:ascii="Cambria Math" w:hAnsi="Cambria Math"/>
                        <w:color w:val="000000" w:themeColor="text1"/>
                        <w:sz w:val="24"/>
                        <w:szCs w:val="24"/>
                      </w:rPr>
                      <m:t>E</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E,s</m:t>
                    </m:r>
                  </m:sub>
                </m:sSub>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e</m:t>
                    </m:r>
                  </m:e>
                  <m:sup>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E</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τ</m:t>
                        </m:r>
                      </m:e>
                      <m:sub>
                        <m:r>
                          <w:rPr>
                            <w:rFonts w:ascii="Cambria Math" w:hAnsi="Cambria Math"/>
                            <w:color w:val="000000" w:themeColor="text1"/>
                            <w:sz w:val="24"/>
                            <w:szCs w:val="24"/>
                          </w:rPr>
                          <m:t>s</m:t>
                        </m:r>
                      </m:sub>
                    </m:sSub>
                  </m:sup>
                </m:sSup>
              </m:num>
              <m:den>
                <m:r>
                  <w:rPr>
                    <w:rFonts w:ascii="Cambria Math" w:hAnsi="Cambria Math"/>
                    <w:color w:val="000000" w:themeColor="text1"/>
                    <w:sz w:val="24"/>
                    <w:szCs w:val="24"/>
                  </w:rPr>
                  <m:t>4π</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ρ</m:t>
                    </m:r>
                  </m:e>
                  <m:sub>
                    <m:r>
                      <w:rPr>
                        <w:rFonts w:ascii="Cambria Math" w:hAnsi="Cambria Math"/>
                        <w:color w:val="000000" w:themeColor="text1"/>
                        <w:sz w:val="24"/>
                        <w:szCs w:val="24"/>
                      </w:rPr>
                      <m:t>s</m:t>
                    </m:r>
                  </m:sub>
                  <m:sup>
                    <m:r>
                      <w:rPr>
                        <w:rFonts w:ascii="Cambria Math" w:hAnsi="Cambria Math"/>
                        <w:color w:val="000000" w:themeColor="text1"/>
                        <w:sz w:val="24"/>
                        <w:szCs w:val="24"/>
                      </w:rPr>
                      <m:t>2</m:t>
                    </m:r>
                  </m:sup>
                </m:sSubSup>
                <m:r>
                  <w:rPr>
                    <w:rFonts w:ascii="Cambria Math" w:hAnsi="Cambria Math"/>
                    <w:color w:val="000000" w:themeColor="text1"/>
                    <w:sz w:val="24"/>
                    <w:szCs w:val="24"/>
                  </w:rPr>
                  <m:t>N</m:t>
                </m:r>
              </m:den>
            </m:f>
          </m:e>
        </m:nary>
      </m:oMath>
      <w:r w:rsidR="001373B1">
        <w:rPr>
          <w:color w:val="000000" w:themeColor="text1"/>
          <w:sz w:val="24"/>
          <w:szCs w:val="24"/>
        </w:rPr>
        <w:t>,</w:t>
      </w:r>
      <w:r w:rsidR="00F5297D">
        <w:rPr>
          <w:color w:val="000000"/>
          <w:sz w:val="24"/>
        </w:rPr>
        <w:tab/>
      </w:r>
      <w:r w:rsidR="00F5297D">
        <w:rPr>
          <w:color w:val="000000"/>
          <w:sz w:val="24"/>
        </w:rPr>
        <w:tab/>
      </w:r>
      <w:r w:rsidR="00F5297D">
        <w:rPr>
          <w:color w:val="000000"/>
          <w:sz w:val="24"/>
        </w:rPr>
        <w:tab/>
      </w:r>
      <w:r w:rsidR="00F5297D">
        <w:rPr>
          <w:color w:val="000000"/>
          <w:sz w:val="24"/>
        </w:rPr>
        <w:tab/>
      </w:r>
      <w:r w:rsidR="00F5297D">
        <w:rPr>
          <w:color w:val="000000"/>
          <w:sz w:val="24"/>
        </w:rPr>
        <w:tab/>
        <w:t>(9)</w:t>
      </w:r>
    </w:p>
    <w:p w14:paraId="3B452140" w14:textId="6162ED6B" w:rsidR="00A43D6E" w:rsidRDefault="000D07EC">
      <w:pPr>
        <w:widowControl/>
        <w:spacing w:after="200" w:line="480" w:lineRule="auto"/>
        <w:jc w:val="left"/>
        <w:rPr>
          <w:color w:val="000000"/>
          <w:sz w:val="24"/>
        </w:rPr>
      </w:pPr>
      <w:r>
        <w:rPr>
          <w:sz w:val="24"/>
        </w:rPr>
        <w:t>where</w:t>
      </w:r>
      <w:r>
        <w:rPr>
          <w:color w:val="000000"/>
          <w:sz w:val="24"/>
        </w:rPr>
        <w:t xml:space="preserve">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W</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E</m:t>
            </m:r>
          </m:sub>
        </m:sSub>
      </m:oMath>
      <w:r>
        <w:rPr>
          <w:color w:val="000000"/>
          <w:sz w:val="24"/>
        </w:rPr>
        <w:t xml:space="preserve"> is the photon yield for the gamma energy group </w:t>
      </w:r>
      <m:oMath>
        <m:r>
          <w:rPr>
            <w:rFonts w:ascii="Cambria Math" w:hAnsi="Cambria Math" w:hint="eastAsia"/>
            <w:color w:val="000000" w:themeColor="text1"/>
            <w:sz w:val="24"/>
            <w:szCs w:val="24"/>
          </w:rPr>
          <m:t>E</m:t>
        </m:r>
      </m:oMath>
      <w:r>
        <w:rPr>
          <w:color w:val="000000"/>
          <w:sz w:val="24"/>
        </w:rPr>
        <w:t xml:space="preserve"> </w:t>
      </w:r>
      <w:r w:rsidR="004754F8">
        <w:rPr>
          <w:color w:val="000000"/>
          <w:sz w:val="24"/>
        </w:rPr>
        <w:t>[29,23]</w:t>
      </w:r>
      <w:r>
        <w:rPr>
          <w:color w:val="000000"/>
          <w:sz w:val="24"/>
        </w:rPr>
        <w:t xml:space="preserve">,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B</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E,s</m:t>
            </m:r>
          </m:sub>
        </m:sSub>
      </m:oMath>
      <w:r>
        <w:rPr>
          <w:color w:val="000000"/>
          <w:sz w:val="24"/>
        </w:rPr>
        <w:t xml:space="preserve"> is the buildup factor of the photon </w:t>
      </w:r>
      <m:oMath>
        <m:r>
          <w:rPr>
            <w:rFonts w:ascii="Cambria Math" w:hAnsi="Cambria Math" w:hint="eastAsia"/>
            <w:color w:val="000000" w:themeColor="text1"/>
            <w:sz w:val="24"/>
            <w:szCs w:val="24"/>
          </w:rPr>
          <m:t>s</m:t>
        </m:r>
      </m:oMath>
      <w:r>
        <w:rPr>
          <w:color w:val="000000"/>
          <w:sz w:val="24"/>
        </w:rPr>
        <w:t xml:space="preserve"> within the gamma energy group </w:t>
      </w:r>
      <m:oMath>
        <m:r>
          <w:rPr>
            <w:rFonts w:ascii="Cambria Math" w:hAnsi="Cambria Math" w:hint="eastAsia"/>
            <w:color w:val="000000" w:themeColor="text1"/>
            <w:sz w:val="24"/>
            <w:szCs w:val="24"/>
          </w:rPr>
          <m:t>E</m:t>
        </m:r>
      </m:oMath>
      <w:r>
        <w:rPr>
          <w:color w:val="000000"/>
          <w:sz w:val="24"/>
        </w:rPr>
        <w:t xml:space="preserve">, and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E</m:t>
            </m:r>
          </m:sub>
        </m:sSub>
      </m:oMath>
      <w:r>
        <w:rPr>
          <w:color w:val="000000"/>
          <w:sz w:val="24"/>
        </w:rPr>
        <w:t xml:space="preserve"> is the linear attenuation coefficient for the gamma energy group </w:t>
      </w:r>
      <m:oMath>
        <m:r>
          <w:rPr>
            <w:rFonts w:ascii="Cambria Math" w:hAnsi="Cambria Math" w:hint="eastAsia"/>
            <w:color w:val="000000" w:themeColor="text1"/>
            <w:sz w:val="24"/>
            <w:szCs w:val="24"/>
          </w:rPr>
          <m:t>E</m:t>
        </m:r>
      </m:oMath>
      <w:r>
        <w:rPr>
          <w:color w:val="000000"/>
          <w:sz w:val="24"/>
        </w:rPr>
        <w:t xml:space="preserve"> (</w:t>
      </w:r>
      <m:oMath>
        <m:r>
          <w:rPr>
            <w:rFonts w:ascii="Cambria Math" w:hAnsi="Cambria Math"/>
            <w:color w:val="000000" w:themeColor="text1"/>
            <w:sz w:val="24"/>
            <w:szCs w:val="24"/>
          </w:rPr>
          <m:t>c</m:t>
        </m:r>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-1</m:t>
            </m:r>
          </m:sup>
        </m:sSup>
      </m:oMath>
      <w:r>
        <w:rPr>
          <w:color w:val="000000"/>
          <w:sz w:val="24"/>
        </w:rPr>
        <w:t>), determined as the product of the mass attenuation coefficient and density of the medium</w:t>
      </w:r>
      <w:r>
        <w:rPr>
          <w:sz w:val="24"/>
        </w:rPr>
        <w:t xml:space="preserve"> </w:t>
      </w:r>
      <w:r w:rsidR="004754F8">
        <w:rPr>
          <w:sz w:val="24"/>
        </w:rPr>
        <w:t>[30]</w:t>
      </w:r>
      <w:r>
        <w:rPr>
          <w:sz w:val="24"/>
        </w:rPr>
        <w:t xml:space="preserve">. </w:t>
      </w:r>
      <w:r>
        <w:rPr>
          <w:color w:val="000000"/>
          <w:sz w:val="24"/>
        </w:rPr>
        <w:t xml:space="preserve">Additionally,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τ</m:t>
            </m:r>
          </m:e>
          <m:sub>
            <m:r>
              <w:rPr>
                <w:rFonts w:ascii="Cambria Math" w:hAnsi="Cambria Math"/>
                <w:color w:val="000000" w:themeColor="text1"/>
                <w:sz w:val="24"/>
                <w:szCs w:val="24"/>
              </w:rPr>
              <m:t>s</m:t>
            </m:r>
          </m:sub>
        </m:sSub>
      </m:oMath>
      <w:r>
        <w:rPr>
          <w:color w:val="000000"/>
          <w:sz w:val="24"/>
        </w:rPr>
        <w:t xml:space="preserve"> is the straight-line distance traveled by photons generated from the point source </w:t>
      </w:r>
      <m:oMath>
        <m:r>
          <w:rPr>
            <w:rFonts w:ascii="Cambria Math" w:hAnsi="Cambria Math" w:hint="eastAsia"/>
            <w:color w:val="000000" w:themeColor="text1"/>
            <w:sz w:val="24"/>
            <w:szCs w:val="24"/>
          </w:rPr>
          <m:t>s</m:t>
        </m:r>
      </m:oMath>
      <w:r>
        <w:rPr>
          <w:color w:val="000000"/>
          <w:sz w:val="24"/>
        </w:rPr>
        <w:t xml:space="preserve"> (</w:t>
      </w:r>
      <m:oMath>
        <m:r>
          <w:rPr>
            <w:rFonts w:ascii="Cambria Math" w:hAnsi="Cambria Math"/>
            <w:color w:val="000000" w:themeColor="text1"/>
            <w:sz w:val="24"/>
            <w:szCs w:val="24"/>
          </w:rPr>
          <m:t>cm</m:t>
        </m:r>
      </m:oMath>
      <w:r>
        <w:rPr>
          <w:color w:val="000000"/>
          <w:sz w:val="24"/>
        </w:rPr>
        <w:t xml:space="preserve">),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s</m:t>
            </m:r>
          </m:sub>
        </m:sSub>
      </m:oMath>
      <w:r>
        <w:rPr>
          <w:color w:val="000000"/>
          <w:sz w:val="24"/>
        </w:rPr>
        <w:t xml:space="preserve"> denotes the distance between the point source </w:t>
      </w:r>
      <m:oMath>
        <m:r>
          <w:rPr>
            <w:rFonts w:ascii="Cambria Math" w:hAnsi="Cambria Math" w:hint="eastAsia"/>
            <w:color w:val="000000" w:themeColor="text1"/>
            <w:sz w:val="24"/>
            <w:szCs w:val="24"/>
          </w:rPr>
          <m:t>s</m:t>
        </m:r>
      </m:oMath>
      <w:r>
        <w:rPr>
          <w:color w:val="000000"/>
          <w:sz w:val="24"/>
        </w:rPr>
        <w:t xml:space="preserve"> and a receiver, and </w:t>
      </w:r>
      <m:oMath>
        <m:r>
          <w:rPr>
            <w:rFonts w:ascii="Cambria Math" w:hAnsi="Cambria Math" w:hint="eastAsia"/>
            <w:color w:val="000000" w:themeColor="text1"/>
            <w:sz w:val="24"/>
            <w:szCs w:val="24"/>
          </w:rPr>
          <m:t>N</m:t>
        </m:r>
      </m:oMath>
      <w:r>
        <w:rPr>
          <w:color w:val="000000"/>
          <w:sz w:val="24"/>
        </w:rPr>
        <w:t xml:space="preserve"> is the total number of sampled sources.</w:t>
      </w:r>
    </w:p>
    <w:p w14:paraId="3B452141" w14:textId="75E2A16E" w:rsidR="00A43D6E" w:rsidRDefault="000D07EC">
      <w:pPr>
        <w:widowControl/>
        <w:spacing w:after="200" w:line="480" w:lineRule="auto"/>
        <w:ind w:firstLine="480"/>
        <w:jc w:val="left"/>
        <w:rPr>
          <w:color w:val="000000"/>
          <w:sz w:val="24"/>
        </w:rPr>
      </w:pPr>
      <w:r>
        <w:rPr>
          <w:color w:val="000000"/>
          <w:sz w:val="24"/>
        </w:rPr>
        <w:t xml:space="preserve">RUCAS accounts for the attenuation of radiation through various media by expressing the shielding effect as the buildup factor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B</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E</m:t>
            </m:r>
          </m:sub>
        </m:sSub>
      </m:oMath>
      <w:r>
        <w:rPr>
          <w:color w:val="000000"/>
          <w:sz w:val="24"/>
        </w:rPr>
        <w:t xml:space="preserve">. According to geometric progression fitting, it can be expressed as Eqs. (10) and (11) </w:t>
      </w:r>
      <w:r w:rsidR="004754F8">
        <w:rPr>
          <w:color w:val="000000"/>
          <w:sz w:val="24"/>
        </w:rPr>
        <w:t>[31]</w:t>
      </w:r>
      <w:r>
        <w:rPr>
          <w:color w:val="000000"/>
          <w:sz w:val="24"/>
        </w:rPr>
        <w:t>.</w:t>
      </w:r>
    </w:p>
    <w:p w14:paraId="3B452142" w14:textId="559E77A7" w:rsidR="00A43D6E" w:rsidRDefault="00000000" w:rsidP="00E1577D">
      <w:pPr>
        <w:widowControl/>
        <w:spacing w:after="200" w:line="480" w:lineRule="auto"/>
        <w:ind w:firstLine="240"/>
        <w:jc w:val="center"/>
        <w:rPr>
          <w:color w:val="000000"/>
          <w:sz w:val="24"/>
        </w:rPr>
      </w:pP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E,s</m:t>
            </m:r>
          </m:sub>
        </m:sSub>
        <m:r>
          <w:rPr>
            <w:rFonts w:ascii="Cambria Math" w:hAnsi="Cambria Math"/>
            <w:color w:val="000000" w:themeColor="text1"/>
            <w:sz w:val="24"/>
            <w:szCs w:val="24"/>
          </w:rPr>
          <m:t>=</m:t>
        </m:r>
        <m:d>
          <m:dPr>
            <m:begChr m:val="{"/>
            <m:endChr m:val=""/>
            <m:ctrlPr>
              <w:rPr>
                <w:rFonts w:ascii="Cambria Math" w:hAnsi="Cambria Math"/>
                <w:bCs/>
                <w:i/>
                <w:color w:val="000000" w:themeColor="text1"/>
                <w:sz w:val="24"/>
                <w:szCs w:val="24"/>
              </w:rPr>
            </m:ctrlPr>
          </m:dPr>
          <m:e>
            <m:eqArr>
              <m:eqArrPr>
                <m:ctrlPr>
                  <w:rPr>
                    <w:rFonts w:ascii="Cambria Math" w:hAnsi="Cambria Math"/>
                    <w:bCs/>
                    <w:i/>
                    <w:color w:val="000000" w:themeColor="text1"/>
                    <w:sz w:val="24"/>
                    <w:szCs w:val="24"/>
                  </w:rPr>
                </m:ctrlPr>
              </m:eqArrPr>
              <m:e>
                <m:r>
                  <w:rPr>
                    <w:rFonts w:ascii="Cambria Math" w:hAnsi="Cambria Math"/>
                    <w:color w:val="000000" w:themeColor="text1"/>
                    <w:sz w:val="24"/>
                    <w:szCs w:val="24"/>
                  </w:rPr>
                  <m:t>1+</m:t>
                </m:r>
                <m:d>
                  <m:dPr>
                    <m:ctrlPr>
                      <w:rPr>
                        <w:rFonts w:ascii="Cambria Math" w:hAnsi="Cambria Math"/>
                        <w:bCs/>
                        <w:i/>
                        <w:color w:val="000000" w:themeColor="text1"/>
                        <w:sz w:val="24"/>
                        <w:szCs w:val="24"/>
                      </w:rPr>
                    </m:ctrlPr>
                  </m:dPr>
                  <m:e>
                    <m:r>
                      <w:rPr>
                        <w:rFonts w:ascii="Cambria Math" w:hAnsi="Cambria Math"/>
                        <w:color w:val="000000" w:themeColor="text1"/>
                        <w:sz w:val="24"/>
                        <w:szCs w:val="24"/>
                      </w:rPr>
                      <m:t>b-1</m:t>
                    </m:r>
                  </m:e>
                </m:d>
                <m:f>
                  <m:fPr>
                    <m:ctrlPr>
                      <w:rPr>
                        <w:rFonts w:ascii="Cambria Math" w:hAnsi="Cambria Math"/>
                        <w:bCs/>
                        <w:i/>
                        <w:color w:val="000000" w:themeColor="text1"/>
                        <w:sz w:val="24"/>
                        <w:szCs w:val="24"/>
                      </w:rPr>
                    </m:ctrlPr>
                  </m:fPr>
                  <m:num>
                    <m:sSup>
                      <m:sSupPr>
                        <m:ctrlPr>
                          <w:rPr>
                            <w:rFonts w:ascii="Cambria Math" w:hAnsi="Cambria Math"/>
                            <w:bCs/>
                            <w:i/>
                            <w:color w:val="000000" w:themeColor="text1"/>
                            <w:sz w:val="24"/>
                            <w:szCs w:val="24"/>
                          </w:rPr>
                        </m:ctrlPr>
                      </m:sSupPr>
                      <m:e>
                        <m:r>
                          <w:rPr>
                            <w:rFonts w:ascii="Cambria Math" w:hAnsi="Cambria Math"/>
                            <w:color w:val="000000" w:themeColor="text1"/>
                            <w:sz w:val="24"/>
                            <w:szCs w:val="24"/>
                          </w:rPr>
                          <m:t>K</m:t>
                        </m:r>
                      </m:e>
                      <m:sup>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E,s</m:t>
                            </m:r>
                          </m:sub>
                        </m:sSub>
                      </m:sup>
                    </m:sSup>
                    <m:r>
                      <w:rPr>
                        <w:rFonts w:ascii="Cambria Math" w:hAnsi="Cambria Math"/>
                        <w:color w:val="000000" w:themeColor="text1"/>
                        <w:sz w:val="24"/>
                        <w:szCs w:val="24"/>
                      </w:rPr>
                      <m:t>-1</m:t>
                    </m:r>
                  </m:num>
                  <m:den>
                    <m:r>
                      <w:rPr>
                        <w:rFonts w:ascii="Cambria Math" w:hAnsi="Cambria Math"/>
                        <w:color w:val="000000" w:themeColor="text1"/>
                        <w:sz w:val="24"/>
                        <w:szCs w:val="24"/>
                      </w:rPr>
                      <m:t>K-1</m:t>
                    </m:r>
                  </m:den>
                </m:f>
                <m:r>
                  <w:rPr>
                    <w:rFonts w:ascii="Cambria Math" w:hAnsi="Cambria Math"/>
                    <w:color w:val="000000" w:themeColor="text1"/>
                    <w:sz w:val="24"/>
                    <w:szCs w:val="24"/>
                  </w:rPr>
                  <m:t>, K</m:t>
                </m:r>
                <m:r>
                  <w:rPr>
                    <w:rFonts w:ascii="Cambria Math" w:hAnsi="Cambria Math" w:hint="eastAsia"/>
                    <w:color w:val="000000" w:themeColor="text1"/>
                    <w:sz w:val="24"/>
                    <w:szCs w:val="24"/>
                  </w:rPr>
                  <m:t>≠</m:t>
                </m:r>
                <m:r>
                  <w:rPr>
                    <w:rFonts w:ascii="Cambria Math" w:hAnsi="Cambria Math"/>
                    <w:color w:val="000000" w:themeColor="text1"/>
                    <w:sz w:val="24"/>
                    <w:szCs w:val="24"/>
                  </w:rPr>
                  <m:t>1</m:t>
                </m:r>
              </m:e>
              <m:e>
                <m:r>
                  <w:rPr>
                    <w:rFonts w:ascii="Cambria Math" w:hAnsi="Cambria Math"/>
                    <w:color w:val="000000" w:themeColor="text1"/>
                    <w:sz w:val="24"/>
                    <w:szCs w:val="24"/>
                  </w:rPr>
                  <m:t>1+</m:t>
                </m:r>
                <m:d>
                  <m:dPr>
                    <m:ctrlPr>
                      <w:rPr>
                        <w:rFonts w:ascii="Cambria Math" w:hAnsi="Cambria Math"/>
                        <w:bCs/>
                        <w:i/>
                        <w:color w:val="000000" w:themeColor="text1"/>
                        <w:sz w:val="24"/>
                        <w:szCs w:val="24"/>
                      </w:rPr>
                    </m:ctrlPr>
                  </m:dPr>
                  <m:e>
                    <m:r>
                      <w:rPr>
                        <w:rFonts w:ascii="Cambria Math" w:hAnsi="Cambria Math"/>
                        <w:color w:val="000000" w:themeColor="text1"/>
                        <w:sz w:val="24"/>
                        <w:szCs w:val="24"/>
                      </w:rPr>
                      <m:t>b-1</m:t>
                    </m:r>
                  </m:e>
                </m:d>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E,s</m:t>
                    </m:r>
                  </m:sub>
                </m:sSub>
                <m:r>
                  <w:rPr>
                    <w:rFonts w:ascii="Cambria Math" w:hAnsi="Cambria Math"/>
                    <w:color w:val="000000" w:themeColor="text1"/>
                    <w:sz w:val="24"/>
                    <w:szCs w:val="24"/>
                  </w:rPr>
                  <m:t>, K=1</m:t>
                </m:r>
              </m:e>
            </m:eqArr>
          </m:e>
        </m:d>
      </m:oMath>
      <w:r w:rsidR="001373B1">
        <w:rPr>
          <w:bCs/>
          <w:color w:val="000000" w:themeColor="text1"/>
          <w:sz w:val="24"/>
          <w:szCs w:val="24"/>
        </w:rPr>
        <w:t>,</w:t>
      </w:r>
      <w:r w:rsidR="00F5297D">
        <w:rPr>
          <w:color w:val="000000"/>
          <w:sz w:val="24"/>
        </w:rPr>
        <w:tab/>
      </w:r>
      <w:r w:rsidR="00F5297D">
        <w:rPr>
          <w:color w:val="000000"/>
          <w:sz w:val="24"/>
        </w:rPr>
        <w:tab/>
      </w:r>
      <w:r w:rsidR="00F5297D">
        <w:rPr>
          <w:color w:val="000000"/>
          <w:sz w:val="24"/>
        </w:rPr>
        <w:tab/>
      </w:r>
      <w:r w:rsidR="00F5297D">
        <w:rPr>
          <w:color w:val="000000"/>
          <w:sz w:val="24"/>
        </w:rPr>
        <w:tab/>
        <w:t>(10)</w:t>
      </w:r>
    </w:p>
    <w:p w14:paraId="3B452143" w14:textId="4BC129C5" w:rsidR="00A43D6E" w:rsidRDefault="000D07EC" w:rsidP="00E1577D">
      <w:pPr>
        <w:widowControl/>
        <w:spacing w:after="200" w:line="480" w:lineRule="auto"/>
        <w:ind w:firstLine="240"/>
        <w:jc w:val="center"/>
        <w:rPr>
          <w:color w:val="000000"/>
          <w:sz w:val="24"/>
        </w:rPr>
      </w:pPr>
      <m:oMath>
        <m:r>
          <w:rPr>
            <w:rFonts w:ascii="Cambria Math" w:hAnsi="Cambria Math"/>
            <w:color w:val="000000" w:themeColor="text1"/>
            <w:sz w:val="24"/>
            <w:szCs w:val="24"/>
          </w:rPr>
          <m:t>K=c</m:t>
        </m:r>
        <m:sSubSup>
          <m:sSubSupPr>
            <m:ctrlPr>
              <w:rPr>
                <w:rFonts w:ascii="Cambria Math" w:hAnsi="Cambria Math"/>
                <w:bCs/>
                <w:i/>
                <w:color w:val="000000" w:themeColor="text1"/>
                <w:sz w:val="24"/>
                <w:szCs w:val="24"/>
              </w:rPr>
            </m:ctrlPr>
          </m:sSubSupPr>
          <m:e>
            <m:r>
              <w:rPr>
                <w:rFonts w:ascii="Cambria Math" w:hAnsi="Cambria Math"/>
                <w:color w:val="000000" w:themeColor="text1"/>
                <w:sz w:val="24"/>
                <w:szCs w:val="24"/>
              </w:rPr>
              <m:t>x</m:t>
            </m:r>
          </m:e>
          <m:sub>
            <m:r>
              <w:rPr>
                <w:rFonts w:ascii="Cambria Math" w:hAnsi="Cambria Math"/>
                <w:color w:val="000000" w:themeColor="text1"/>
                <w:sz w:val="24"/>
                <w:szCs w:val="24"/>
              </w:rPr>
              <m:t>E,s</m:t>
            </m:r>
          </m:sub>
          <m:sup>
            <m:r>
              <w:rPr>
                <w:rFonts w:ascii="Cambria Math" w:hAnsi="Cambria Math"/>
                <w:color w:val="000000" w:themeColor="text1"/>
                <w:sz w:val="24"/>
                <w:szCs w:val="24"/>
              </w:rPr>
              <m:t>a</m:t>
            </m:r>
          </m:sup>
        </m:sSubSup>
        <m:r>
          <w:rPr>
            <w:rFonts w:ascii="Cambria Math" w:hAnsi="Cambria Math"/>
            <w:color w:val="000000" w:themeColor="text1"/>
            <w:sz w:val="24"/>
            <w:szCs w:val="24"/>
          </w:rPr>
          <m:t>+d</m:t>
        </m:r>
        <m:f>
          <m:fPr>
            <m:ctrlPr>
              <w:rPr>
                <w:rFonts w:ascii="Cambria Math" w:hAnsi="Cambria Math"/>
                <w:bCs/>
                <w:i/>
                <w:color w:val="000000" w:themeColor="text1"/>
                <w:sz w:val="24"/>
                <w:szCs w:val="24"/>
              </w:rPr>
            </m:ctrlPr>
          </m:fPr>
          <m:num>
            <m:func>
              <m:funcPr>
                <m:ctrlPr>
                  <w:rPr>
                    <w:rFonts w:ascii="Cambria Math" w:hAnsi="Cambria Math"/>
                    <w:bCs/>
                    <w:i/>
                    <w:color w:val="000000" w:themeColor="text1"/>
                    <w:sz w:val="24"/>
                    <w:szCs w:val="24"/>
                  </w:rPr>
                </m:ctrlPr>
              </m:funcPr>
              <m:fName>
                <m:r>
                  <m:rPr>
                    <m:sty m:val="p"/>
                  </m:rPr>
                  <w:rPr>
                    <w:rFonts w:ascii="Cambria Math" w:hAnsi="Cambria Math"/>
                    <w:color w:val="000000" w:themeColor="text1"/>
                    <w:sz w:val="24"/>
                    <w:szCs w:val="24"/>
                  </w:rPr>
                  <m:t>tanh</m:t>
                </m:r>
              </m:fName>
              <m:e>
                <m:d>
                  <m:dPr>
                    <m:ctrlPr>
                      <w:rPr>
                        <w:rFonts w:ascii="Cambria Math" w:hAnsi="Cambria Math"/>
                        <w:bCs/>
                        <w:i/>
                        <w:color w:val="000000" w:themeColor="text1"/>
                        <w:sz w:val="24"/>
                        <w:szCs w:val="24"/>
                      </w:rPr>
                    </m:ctrlPr>
                  </m:dPr>
                  <m:e>
                    <m:f>
                      <m:fPr>
                        <m:ctrlPr>
                          <w:rPr>
                            <w:rFonts w:ascii="Cambria Math" w:hAnsi="Cambria Math"/>
                            <w:bCs/>
                            <w:i/>
                            <w:color w:val="000000" w:themeColor="text1"/>
                            <w:sz w:val="24"/>
                            <w:szCs w:val="24"/>
                          </w:rPr>
                        </m:ctrlPr>
                      </m:fPr>
                      <m:num>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E,s</m:t>
                            </m:r>
                          </m:sub>
                        </m:sSub>
                      </m:num>
                      <m:den>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ξ</m:t>
                            </m:r>
                          </m:e>
                          <m:sub>
                            <m:r>
                              <w:rPr>
                                <w:rFonts w:ascii="Cambria Math" w:hAnsi="Cambria Math"/>
                                <w:color w:val="000000" w:themeColor="text1"/>
                                <w:sz w:val="24"/>
                                <w:szCs w:val="24"/>
                              </w:rPr>
                              <m:t>k</m:t>
                            </m:r>
                          </m:sub>
                        </m:sSub>
                        <m:r>
                          <w:rPr>
                            <w:rFonts w:ascii="Cambria Math" w:hAnsi="Cambria Math"/>
                            <w:color w:val="000000" w:themeColor="text1"/>
                            <w:sz w:val="24"/>
                            <w:szCs w:val="24"/>
                          </w:rPr>
                          <m:t>-2</m:t>
                        </m:r>
                      </m:den>
                    </m:f>
                  </m:e>
                </m:d>
              </m:e>
            </m:func>
            <m:r>
              <w:rPr>
                <w:rFonts w:ascii="Cambria Math" w:hAnsi="Cambria Math"/>
                <w:color w:val="000000" w:themeColor="text1"/>
                <w:sz w:val="24"/>
                <w:szCs w:val="24"/>
              </w:rPr>
              <m:t>-</m:t>
            </m:r>
            <m:r>
              <m:rPr>
                <m:sty m:val="p"/>
              </m:rPr>
              <w:rPr>
                <w:rFonts w:ascii="Cambria Math" w:hAnsi="Cambria Math"/>
                <w:color w:val="000000" w:themeColor="text1"/>
                <w:sz w:val="24"/>
                <w:szCs w:val="24"/>
              </w:rPr>
              <m:t>tanh⁡</m:t>
            </m:r>
            <m:r>
              <w:rPr>
                <w:rFonts w:ascii="Cambria Math" w:hAnsi="Cambria Math"/>
                <w:color w:val="000000" w:themeColor="text1"/>
                <w:sz w:val="24"/>
                <w:szCs w:val="24"/>
              </w:rPr>
              <m:t>(-2)</m:t>
            </m:r>
          </m:num>
          <m:den>
            <m:r>
              <w:rPr>
                <w:rFonts w:ascii="Cambria Math" w:hAnsi="Cambria Math"/>
                <w:color w:val="000000" w:themeColor="text1"/>
                <w:sz w:val="24"/>
                <w:szCs w:val="24"/>
              </w:rPr>
              <m:t>1-</m:t>
            </m:r>
            <m:r>
              <m:rPr>
                <m:sty m:val="p"/>
              </m:rPr>
              <w:rPr>
                <w:rFonts w:ascii="Cambria Math" w:hAnsi="Cambria Math"/>
                <w:color w:val="000000" w:themeColor="text1"/>
                <w:sz w:val="24"/>
                <w:szCs w:val="24"/>
              </w:rPr>
              <m:t>tanh⁡</m:t>
            </m:r>
            <m:r>
              <w:rPr>
                <w:rFonts w:ascii="Cambria Math" w:hAnsi="Cambria Math"/>
                <w:color w:val="000000" w:themeColor="text1"/>
                <w:sz w:val="24"/>
                <w:szCs w:val="24"/>
              </w:rPr>
              <m:t>(-2)</m:t>
            </m:r>
          </m:den>
        </m:f>
        <m:r>
          <w:rPr>
            <w:rFonts w:ascii="Cambria Math" w:hAnsi="Cambria Math"/>
            <w:color w:val="000000" w:themeColor="text1"/>
            <w:sz w:val="24"/>
            <w:szCs w:val="24"/>
          </w:rPr>
          <m:t>.</m:t>
        </m:r>
      </m:oMath>
      <w:r>
        <w:rPr>
          <w:color w:val="000000"/>
          <w:sz w:val="24"/>
        </w:rPr>
        <w:tab/>
      </w:r>
      <w:r>
        <w:rPr>
          <w:color w:val="000000"/>
          <w:sz w:val="24"/>
        </w:rPr>
        <w:tab/>
      </w:r>
      <w:r>
        <w:rPr>
          <w:color w:val="000000"/>
          <w:sz w:val="24"/>
        </w:rPr>
        <w:tab/>
      </w:r>
      <w:r>
        <w:rPr>
          <w:color w:val="000000"/>
          <w:sz w:val="24"/>
        </w:rPr>
        <w:tab/>
      </w:r>
      <w:r>
        <w:rPr>
          <w:color w:val="000000"/>
          <w:sz w:val="24"/>
        </w:rPr>
        <w:tab/>
        <w:t>(11)</w:t>
      </w:r>
    </w:p>
    <w:p w14:paraId="3B452144" w14:textId="533FC66E" w:rsidR="00A43D6E" w:rsidRDefault="000D07EC">
      <w:pPr>
        <w:widowControl/>
        <w:spacing w:after="200" w:line="480" w:lineRule="auto"/>
        <w:jc w:val="left"/>
        <w:rPr>
          <w:color w:val="000000"/>
          <w:sz w:val="24"/>
        </w:rPr>
      </w:pPr>
      <w:r>
        <w:rPr>
          <w:color w:val="000000"/>
          <w:sz w:val="24"/>
        </w:rPr>
        <w:t>Here,</w:t>
      </w:r>
      <w:r w:rsidR="00F33CE8">
        <w:rPr>
          <w:color w:val="000000"/>
          <w:sz w:val="24"/>
        </w:rPr>
        <w:t xml:space="preserve"> </w:t>
      </w:r>
      <m:oMath>
        <m:r>
          <w:rPr>
            <w:rFonts w:ascii="Cambria Math" w:hAnsi="Cambria Math" w:hint="eastAsia"/>
            <w:color w:val="000000" w:themeColor="text1"/>
            <w:sz w:val="24"/>
            <w:szCs w:val="24"/>
          </w:rPr>
          <m:t xml:space="preserve">b, c, a, d, </m:t>
        </m:r>
      </m:oMath>
      <w:r w:rsidR="00F33CE8">
        <w:rPr>
          <w:color w:val="000000"/>
          <w:sz w:val="24"/>
        </w:rPr>
        <w:t xml:space="preserve">and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ξ</m:t>
            </m:r>
          </m:e>
          <m:sub>
            <m:r>
              <w:rPr>
                <w:rFonts w:ascii="Cambria Math" w:hAnsi="Cambria Math"/>
                <w:color w:val="000000" w:themeColor="text1"/>
                <w:sz w:val="24"/>
                <w:szCs w:val="24"/>
              </w:rPr>
              <m:t>k</m:t>
            </m:r>
          </m:sub>
        </m:sSub>
      </m:oMath>
      <w:r w:rsidR="00F33CE8">
        <w:rPr>
          <w:color w:val="000000"/>
          <w:sz w:val="24"/>
        </w:rPr>
        <w:t xml:space="preserve"> are the buildup factor coefficients and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E,s</m:t>
            </m:r>
          </m:sub>
        </m:sSub>
      </m:oMath>
      <w:r w:rsidR="00F33CE8">
        <w:rPr>
          <w:color w:val="000000"/>
          <w:sz w:val="24"/>
        </w:rPr>
        <w:t xml:space="preserve"> is the number of mean free paths (</w:t>
      </w:r>
      <m:oMath>
        <m:r>
          <w:rPr>
            <w:rFonts w:ascii="Cambria Math" w:hAnsi="Cambria Math"/>
            <w:color w:val="000000" w:themeColor="text1"/>
            <w:sz w:val="24"/>
            <w:szCs w:val="24"/>
          </w:rPr>
          <m:t>mpf</m:t>
        </m:r>
      </m:oMath>
      <w:r w:rsidR="00F33CE8">
        <w:rPr>
          <w:color w:val="000000"/>
          <w:sz w:val="24"/>
        </w:rPr>
        <w:t xml:space="preserve">), calculated as the product of the linear attenuation coefficient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E</m:t>
            </m:r>
          </m:sub>
        </m:sSub>
      </m:oMath>
      <w:r w:rsidR="00F33CE8">
        <w:rPr>
          <w:color w:val="000000"/>
          <w:sz w:val="24"/>
        </w:rPr>
        <w:t xml:space="preserve"> for the gamma energy group </w:t>
      </w:r>
      <m:oMath>
        <m:r>
          <w:rPr>
            <w:rFonts w:ascii="Cambria Math" w:hAnsi="Cambria Math" w:hint="eastAsia"/>
            <w:color w:val="000000" w:themeColor="text1"/>
            <w:sz w:val="24"/>
            <w:szCs w:val="24"/>
          </w:rPr>
          <m:t>E</m:t>
        </m:r>
      </m:oMath>
      <w:r w:rsidR="00F33CE8">
        <w:rPr>
          <w:color w:val="000000"/>
          <w:sz w:val="24"/>
        </w:rPr>
        <w:t xml:space="preserve"> and the distance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τ</m:t>
            </m:r>
          </m:e>
          <m:sub>
            <m:r>
              <w:rPr>
                <w:rFonts w:ascii="Cambria Math" w:hAnsi="Cambria Math"/>
                <w:color w:val="000000" w:themeColor="text1"/>
                <w:sz w:val="24"/>
                <w:szCs w:val="24"/>
              </w:rPr>
              <m:t>s</m:t>
            </m:r>
          </m:sub>
        </m:sSub>
      </m:oMath>
      <w:r w:rsidR="00F33CE8">
        <w:rPr>
          <w:color w:val="000000"/>
          <w:sz w:val="24"/>
        </w:rPr>
        <w:t xml:space="preserve"> traveled by photons emitted from the point source </w:t>
      </w:r>
      <m:oMath>
        <m:r>
          <w:rPr>
            <w:rFonts w:ascii="Cambria Math" w:hAnsi="Cambria Math" w:hint="eastAsia"/>
            <w:color w:val="000000" w:themeColor="text1"/>
            <w:sz w:val="24"/>
            <w:szCs w:val="24"/>
          </w:rPr>
          <m:t>s</m:t>
        </m:r>
      </m:oMath>
      <w:r w:rsidR="00F33CE8">
        <w:rPr>
          <w:color w:val="000000"/>
          <w:sz w:val="24"/>
        </w:rPr>
        <w:t>.</w:t>
      </w:r>
    </w:p>
    <w:p w14:paraId="3B452145" w14:textId="562410E7" w:rsidR="00A43D6E" w:rsidRDefault="000D07EC" w:rsidP="00E52259">
      <w:pPr>
        <w:widowControl/>
        <w:spacing w:after="200" w:line="480" w:lineRule="auto"/>
        <w:ind w:firstLineChars="200" w:firstLine="480"/>
        <w:jc w:val="left"/>
        <w:rPr>
          <w:color w:val="000000"/>
          <w:sz w:val="24"/>
        </w:rPr>
      </w:pPr>
      <w:r>
        <w:rPr>
          <w:color w:val="000000"/>
          <w:sz w:val="24"/>
        </w:rPr>
        <w:t xml:space="preserve">To account for the shielding effect in multiple media, both methods are used to derive the total buildup factor from the buildup factors of the shielding and source addressed in prior studies </w:t>
      </w:r>
      <w:r w:rsidR="004754F8">
        <w:rPr>
          <w:color w:val="000000"/>
          <w:sz w:val="24"/>
        </w:rPr>
        <w:t>[32,33]</w:t>
      </w:r>
      <w:r>
        <w:rPr>
          <w:color w:val="000000"/>
          <w:sz w:val="24"/>
        </w:rPr>
        <w:t>. The total buildup factor of multilayer shielding can be expressed as the following equations:</w:t>
      </w:r>
    </w:p>
    <w:p w14:paraId="3B452146" w14:textId="4C481C13" w:rsidR="00A43D6E" w:rsidRDefault="00000000" w:rsidP="00E1577D">
      <w:pPr>
        <w:widowControl/>
        <w:spacing w:after="0" w:line="480" w:lineRule="auto"/>
        <w:ind w:firstLine="320"/>
        <w:jc w:val="center"/>
        <w:rPr>
          <w:color w:val="000000"/>
          <w:sz w:val="24"/>
        </w:rPr>
      </w:pPr>
      <m:oMath>
        <m:f>
          <m:fPr>
            <m:type m:val="noBa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tot</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2</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d>
              <m:dPr>
                <m:begChr m:val="["/>
                <m:endChr m:val="]"/>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2</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2</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e>
            </m:d>
            <m:d>
              <m:dPr>
                <m:begChr m:val="["/>
                <m:endChr m:val="]"/>
                <m:ctrlPr>
                  <w:rPr>
                    <w:rFonts w:ascii="Cambria Math" w:hAnsi="Cambria Math"/>
                    <w:bCs/>
                    <w:i/>
                    <w:color w:val="000000" w:themeColor="text1"/>
                    <w:sz w:val="32"/>
                    <w:szCs w:val="32"/>
                  </w:rPr>
                </m:ctrlPr>
              </m:dPr>
              <m:e>
                <m:r>
                  <w:rPr>
                    <w:rFonts w:ascii="Cambria Math" w:hAnsi="Cambria Math"/>
                    <w:color w:val="000000" w:themeColor="text1"/>
                    <w:sz w:val="32"/>
                    <w:szCs w:val="32"/>
                  </w:rPr>
                  <m:t>K</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e>
                </m:d>
                <m:r>
                  <w:rPr>
                    <w:rFonts w:ascii="Cambria Math" w:hAnsi="Cambria Math"/>
                    <w:color w:val="000000" w:themeColor="text1"/>
                    <w:sz w:val="32"/>
                    <w:szCs w:val="32"/>
                  </w:rPr>
                  <m:t>C</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e>
            </m:d>
          </m:num>
          <m:den>
            <m:r>
              <w:rPr>
                <w:rFonts w:ascii="Cambria Math" w:hAnsi="Cambria Math"/>
                <w:color w:val="000000" w:themeColor="text1"/>
                <w:sz w:val="32"/>
                <w:szCs w:val="32"/>
              </w:rPr>
              <m:t>K</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e>
            </m:d>
            <m:r>
              <w:rPr>
                <w:rFonts w:ascii="Cambria Math" w:hAnsi="Cambria Math"/>
                <w:color w:val="000000" w:themeColor="text1"/>
                <w:sz w:val="32"/>
                <w:szCs w:val="32"/>
              </w:rPr>
              <m:t>=</m:t>
            </m:r>
            <m:f>
              <m:fP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1</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e>
                </m:d>
                <m:r>
                  <w:rPr>
                    <w:rFonts w:ascii="Cambria Math" w:hAnsi="Cambria Math"/>
                    <w:color w:val="000000" w:themeColor="text1"/>
                    <w:sz w:val="32"/>
                    <w:szCs w:val="32"/>
                  </w:rPr>
                  <m:t>-1</m:t>
                </m:r>
              </m:num>
              <m:den>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2</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e>
                </m:d>
                <m:r>
                  <w:rPr>
                    <w:rFonts w:ascii="Cambria Math" w:hAnsi="Cambria Math"/>
                    <w:color w:val="000000" w:themeColor="text1"/>
                    <w:sz w:val="32"/>
                    <w:szCs w:val="32"/>
                  </w:rPr>
                  <m:t>-1</m:t>
                </m:r>
              </m:den>
            </m:f>
          </m:den>
        </m:f>
      </m:oMath>
      <w:r w:rsidR="00A606F1" w:rsidRPr="001373B1">
        <w:rPr>
          <w:bCs/>
          <w:color w:val="000000" w:themeColor="text1"/>
          <w:sz w:val="24"/>
          <w:szCs w:val="24"/>
        </w:rPr>
        <w:t>,</w:t>
      </w:r>
      <w:r w:rsidR="00F5297D">
        <w:rPr>
          <w:color w:val="000000"/>
          <w:sz w:val="32"/>
        </w:rPr>
        <w:tab/>
      </w:r>
      <w:r w:rsidR="00F5297D">
        <w:rPr>
          <w:color w:val="000000"/>
          <w:sz w:val="24"/>
        </w:rPr>
        <w:t xml:space="preserve"> </w:t>
      </w:r>
      <w:r w:rsidR="00F5297D">
        <w:rPr>
          <w:color w:val="000000"/>
          <w:sz w:val="24"/>
        </w:rPr>
        <w:tab/>
        <w:t xml:space="preserve"> </w:t>
      </w:r>
      <w:r w:rsidR="00F5297D">
        <w:rPr>
          <w:color w:val="000000"/>
          <w:sz w:val="24"/>
        </w:rPr>
        <w:tab/>
        <w:t>(12)</w:t>
      </w:r>
    </w:p>
    <w:p w14:paraId="3B452147" w14:textId="4916A57D" w:rsidR="00A43D6E" w:rsidRDefault="000D07EC">
      <w:pPr>
        <w:widowControl/>
        <w:spacing w:after="200" w:line="480" w:lineRule="auto"/>
        <w:jc w:val="left"/>
        <w:rPr>
          <w:color w:val="000000"/>
          <w:sz w:val="24"/>
        </w:rPr>
      </w:pPr>
      <w:r>
        <w:rPr>
          <w:color w:val="000000"/>
          <w:sz w:val="24"/>
        </w:rPr>
        <w:t xml:space="preserve">where the subscripts 1 and 2 denote the source and shielding, respectively;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B</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tot</m:t>
            </m:r>
          </m:sub>
        </m:sSub>
      </m:oMath>
      <w:r>
        <w:rPr>
          <w:color w:val="000000"/>
          <w:sz w:val="24"/>
        </w:rPr>
        <w:t xml:space="preserve"> is the total buildup factor; and the buildup factors of the source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1</m:t>
            </m:r>
          </m:sub>
        </m:sSub>
      </m:oMath>
      <w:r>
        <w:rPr>
          <w:color w:val="000000"/>
          <w:sz w:val="24"/>
        </w:rPr>
        <w:t xml:space="preserve"> and shielding </w:t>
      </w:r>
      <m:oMath>
        <m:sSub>
          <m:sSubPr>
            <m:ctrlPr>
              <w:rPr>
                <w:rFonts w:ascii="Cambria Math" w:hAnsi="Cambria Math"/>
                <w:bCs/>
                <w:i/>
                <w:color w:val="000000" w:themeColor="text1"/>
                <w:sz w:val="24"/>
                <w:szCs w:val="24"/>
              </w:rPr>
            </m:ctrlPr>
          </m:sSubPr>
          <m:e>
            <m:r>
              <w:rPr>
                <w:rFonts w:ascii="Cambria Math" w:hAnsi="Cambria Math" w:hint="eastAsia"/>
                <w:color w:val="000000" w:themeColor="text1"/>
                <w:sz w:val="24"/>
                <w:szCs w:val="24"/>
              </w:rPr>
              <m:t>B</m:t>
            </m:r>
            <m:ctrlPr>
              <w:rPr>
                <w:rFonts w:ascii="Cambria Math" w:hAnsi="Cambria Math" w:hint="eastAsia"/>
                <w:bCs/>
                <w:i/>
                <w:color w:val="000000" w:themeColor="text1"/>
                <w:sz w:val="24"/>
                <w:szCs w:val="24"/>
              </w:rPr>
            </m:ctrlPr>
          </m:e>
          <m:sub>
            <m:r>
              <w:rPr>
                <w:rFonts w:ascii="Cambria Math" w:hAnsi="Cambria Math"/>
                <w:color w:val="000000" w:themeColor="text1"/>
                <w:sz w:val="24"/>
                <w:szCs w:val="24"/>
              </w:rPr>
              <m:t>2</m:t>
            </m:r>
          </m:sub>
        </m:sSub>
      </m:oMath>
      <w:r>
        <w:rPr>
          <w:color w:val="000000"/>
          <w:sz w:val="24"/>
        </w:rPr>
        <w:t xml:space="preserve"> can be derived from Eq. (10). </w:t>
      </w:r>
      <m:oMath>
        <m:r>
          <w:rPr>
            <w:rFonts w:ascii="Cambria Math" w:hAnsi="Cambria Math" w:hint="eastAsia"/>
            <w:color w:val="000000" w:themeColor="text1"/>
            <w:sz w:val="24"/>
            <w:szCs w:val="24"/>
          </w:rPr>
          <m:t>C</m:t>
        </m:r>
        <m:d>
          <m:dPr>
            <m:ctrlPr>
              <w:rPr>
                <w:rFonts w:ascii="Cambria Math" w:hAnsi="Cambria Math"/>
                <w:bCs/>
                <w:i/>
                <w:color w:val="000000" w:themeColor="text1"/>
                <w:sz w:val="24"/>
                <w:szCs w:val="24"/>
              </w:rPr>
            </m:ctrlPr>
          </m:dPr>
          <m:e>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2</m:t>
                </m:r>
              </m:sub>
            </m:sSub>
          </m:e>
        </m:d>
        <m:r>
          <w:rPr>
            <w:rFonts w:ascii="Cambria Math" w:hAnsi="Cambria Math"/>
            <w:color w:val="000000" w:themeColor="text1"/>
            <w:sz w:val="24"/>
            <w:szCs w:val="24"/>
          </w:rPr>
          <m:t xml:space="preserve"> </m:t>
        </m:r>
      </m:oMath>
      <w:r>
        <w:rPr>
          <w:color w:val="000000"/>
          <w:sz w:val="24"/>
        </w:rPr>
        <w:t xml:space="preserve">is based on the methods proposed by Kalos </w:t>
      </w:r>
      <w:r w:rsidR="00E40384">
        <w:rPr>
          <w:color w:val="000000"/>
          <w:sz w:val="24"/>
        </w:rPr>
        <w:t>[32]</w:t>
      </w:r>
      <w:r>
        <w:rPr>
          <w:color w:val="000000"/>
          <w:sz w:val="24"/>
        </w:rPr>
        <w:t xml:space="preserve"> and Lin and Jiang </w:t>
      </w:r>
      <w:r w:rsidR="00E40384">
        <w:rPr>
          <w:color w:val="000000"/>
          <w:sz w:val="24"/>
        </w:rPr>
        <w:t xml:space="preserve">[33] </w:t>
      </w:r>
      <w:r>
        <w:rPr>
          <w:color w:val="000000"/>
          <w:sz w:val="24"/>
        </w:rPr>
        <w:t xml:space="preserve">and can be represented by </w:t>
      </w:r>
      <w:proofErr w:type="spellStart"/>
      <w:r>
        <w:rPr>
          <w:color w:val="000000"/>
          <w:sz w:val="24"/>
        </w:rPr>
        <w:t>Eqs</w:t>
      </w:r>
      <w:proofErr w:type="spellEnd"/>
      <w:r>
        <w:rPr>
          <w:color w:val="000000"/>
          <w:sz w:val="24"/>
        </w:rPr>
        <w:t>. (13) and (14)</w:t>
      </w:r>
      <w:r w:rsidR="007853E8">
        <w:rPr>
          <w:color w:val="000000"/>
          <w:sz w:val="24"/>
        </w:rPr>
        <w:t>, where</w:t>
      </w:r>
      <w:r>
        <w:rPr>
          <w:color w:val="000000"/>
          <w:sz w:val="24"/>
        </w:rPr>
        <w:t xml:space="preserve">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c</m:t>
            </m:r>
          </m:sub>
        </m:sSub>
      </m:oMath>
      <w:r>
        <w:rPr>
          <w:color w:val="000000"/>
          <w:sz w:val="24"/>
        </w:rPr>
        <w:t xml:space="preserve"> represents the linear attenuation coefficient of Compton scattering, </w:t>
      </w:r>
      <m:oMath>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t</m:t>
            </m:r>
          </m:sub>
        </m:sSub>
      </m:oMath>
      <w:r>
        <w:rPr>
          <w:color w:val="000000"/>
          <w:sz w:val="24"/>
        </w:rPr>
        <w:t xml:space="preserve"> is the total linear attenuation coefficient, and </w:t>
      </w:r>
      <m:oMath>
        <m:r>
          <w:rPr>
            <w:rFonts w:ascii="Cambria Math" w:hAnsi="Cambria Math" w:hint="eastAsia"/>
            <w:color w:val="000000" w:themeColor="text1"/>
            <w:sz w:val="24"/>
            <w:szCs w:val="24"/>
          </w:rPr>
          <m:t>Z</m:t>
        </m:r>
      </m:oMath>
      <w:r>
        <w:rPr>
          <w:color w:val="000000"/>
          <w:sz w:val="24"/>
        </w:rPr>
        <w:t xml:space="preserve"> is the atomic number.</w:t>
      </w:r>
    </w:p>
    <w:p w14:paraId="3B452148" w14:textId="4D487356" w:rsidR="00A43D6E" w:rsidRDefault="00000000" w:rsidP="00E1577D">
      <w:pPr>
        <w:widowControl/>
        <w:spacing w:after="0" w:line="480" w:lineRule="auto"/>
        <w:jc w:val="center"/>
        <w:rPr>
          <w:color w:val="000000"/>
          <w:sz w:val="24"/>
        </w:rPr>
      </w:pPr>
      <m:oMath>
        <m:f>
          <m:fPr>
            <m:type m:val="noBar"/>
            <m:ctrlPr>
              <w:rPr>
                <w:rFonts w:ascii="Cambria Math" w:hAnsi="Cambria Math"/>
                <w:bCs/>
                <w:i/>
                <w:color w:val="000000" w:themeColor="text1"/>
                <w:sz w:val="32"/>
                <w:szCs w:val="32"/>
              </w:rPr>
            </m:ctrlPr>
          </m:fPr>
          <m:num>
            <m:r>
              <w:rPr>
                <w:rFonts w:ascii="Cambria Math" w:hAnsi="Cambria Math"/>
                <w:color w:val="000000" w:themeColor="text1"/>
                <w:sz w:val="32"/>
                <w:szCs w:val="32"/>
              </w:rPr>
              <m:t>C</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d>
              <m:dPr>
                <m:begChr m:val="{"/>
                <m:endChr m:val=""/>
                <m:ctrlPr>
                  <w:rPr>
                    <w:rFonts w:ascii="Cambria Math" w:hAnsi="Cambria Math"/>
                    <w:bCs/>
                    <w:i/>
                    <w:color w:val="000000" w:themeColor="text1"/>
                    <w:sz w:val="32"/>
                    <w:szCs w:val="32"/>
                  </w:rPr>
                </m:ctrlPr>
              </m:dPr>
              <m:e>
                <m:eqArr>
                  <m:eqArrPr>
                    <m:ctrlPr>
                      <w:rPr>
                        <w:rFonts w:ascii="Cambria Math" w:hAnsi="Cambria Math"/>
                        <w:bCs/>
                        <w:i/>
                        <w:color w:val="000000" w:themeColor="text1"/>
                        <w:sz w:val="32"/>
                        <w:szCs w:val="32"/>
                      </w:rPr>
                    </m:ctrlPr>
                  </m:eqArrPr>
                  <m:e>
                    <m:r>
                      <w:rPr>
                        <w:rFonts w:ascii="Cambria Math" w:hAnsi="Cambria Math"/>
                        <w:color w:val="000000" w:themeColor="text1"/>
                        <w:sz w:val="32"/>
                        <w:szCs w:val="32"/>
                      </w:rPr>
                      <m:t xml:space="preserve">1 when </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1</m:t>
                        </m:r>
                      </m:sub>
                    </m:sSub>
                    <m:r>
                      <w:rPr>
                        <w:rFonts w:ascii="Cambria Math" w:hAnsi="Cambria Math"/>
                        <w:color w:val="000000" w:themeColor="text1"/>
                        <w:sz w:val="32"/>
                        <w:szCs w:val="32"/>
                      </w:rPr>
                      <m:t>&gt;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2</m:t>
                        </m:r>
                      </m:sub>
                    </m:sSub>
                  </m:e>
                  <m:e>
                    <m:func>
                      <m:funcPr>
                        <m:ctrlPr>
                          <w:rPr>
                            <w:rFonts w:ascii="Cambria Math" w:hAnsi="Cambria Math"/>
                            <w:bCs/>
                            <w:i/>
                            <w:color w:val="000000" w:themeColor="text1"/>
                            <w:sz w:val="32"/>
                            <w:szCs w:val="32"/>
                          </w:rPr>
                        </m:ctrlPr>
                      </m:funcPr>
                      <m:fName>
                        <m:r>
                          <w:rPr>
                            <w:rFonts w:ascii="Cambria Math" w:hAnsi="Cambria Math"/>
                            <w:color w:val="000000" w:themeColor="text1"/>
                            <w:sz w:val="32"/>
                            <w:szCs w:val="32"/>
                          </w:rPr>
                          <m:t>exp</m:t>
                        </m:r>
                      </m:fName>
                      <m:e>
                        <m:d>
                          <m:dPr>
                            <m:ctrlPr>
                              <w:rPr>
                                <w:rFonts w:ascii="Cambria Math" w:hAnsi="Cambria Math"/>
                                <w:bCs/>
                                <w:i/>
                                <w:color w:val="000000" w:themeColor="text1"/>
                                <w:sz w:val="32"/>
                                <w:szCs w:val="32"/>
                              </w:rPr>
                            </m:ctrlPr>
                          </m:dPr>
                          <m:e>
                            <m:r>
                              <w:rPr>
                                <w:rFonts w:ascii="Cambria Math" w:hAnsi="Cambria Math"/>
                                <w:color w:val="000000" w:themeColor="text1"/>
                                <w:sz w:val="32"/>
                                <w:szCs w:val="32"/>
                              </w:rPr>
                              <m:t>-1.7</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e>
                    </m:func>
                    <m:r>
                      <w:rPr>
                        <w:rFonts w:ascii="Cambria Math" w:hAnsi="Cambria Math"/>
                        <w:color w:val="000000" w:themeColor="text1"/>
                        <w:sz w:val="32"/>
                        <w:szCs w:val="32"/>
                      </w:rPr>
                      <m:t>+</m:t>
                    </m:r>
                    <m:f>
                      <m:fPr>
                        <m:ctrlPr>
                          <w:rPr>
                            <w:rFonts w:ascii="Cambria Math" w:hAnsi="Cambria Math"/>
                            <w:bCs/>
                            <w:i/>
                            <w:color w:val="000000" w:themeColor="text1"/>
                            <w:sz w:val="32"/>
                            <w:szCs w:val="32"/>
                          </w:rPr>
                        </m:ctrlPr>
                      </m:fPr>
                      <m:num>
                        <m:r>
                          <w:rPr>
                            <w:rFonts w:ascii="Cambria Math" w:hAnsi="Cambria Math"/>
                            <w:color w:val="000000" w:themeColor="text1"/>
                            <w:sz w:val="32"/>
                            <w:szCs w:val="32"/>
                          </w:rPr>
                          <m:t>α</m:t>
                        </m:r>
                      </m:num>
                      <m:den>
                        <m:r>
                          <w:rPr>
                            <w:rFonts w:ascii="Cambria Math" w:hAnsi="Cambria Math"/>
                            <w:color w:val="000000" w:themeColor="text1"/>
                            <w:sz w:val="32"/>
                            <w:szCs w:val="32"/>
                          </w:rPr>
                          <m:t>K(</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r>
                          <w:rPr>
                            <w:rFonts w:ascii="Cambria Math" w:hAnsi="Cambria Math"/>
                            <w:color w:val="000000" w:themeColor="text1"/>
                            <w:sz w:val="32"/>
                            <w:szCs w:val="32"/>
                          </w:rPr>
                          <m:t>)</m:t>
                        </m:r>
                      </m:den>
                    </m:f>
                    <m:d>
                      <m:dPr>
                        <m:begChr m:val="["/>
                        <m:endChr m:val="]"/>
                        <m:ctrlPr>
                          <w:rPr>
                            <w:rFonts w:ascii="Cambria Math" w:hAnsi="Cambria Math"/>
                            <w:bCs/>
                            <w:i/>
                            <w:color w:val="000000" w:themeColor="text1"/>
                            <w:sz w:val="32"/>
                            <w:szCs w:val="32"/>
                          </w:rPr>
                        </m:ctrlPr>
                      </m:dPr>
                      <m:e>
                        <m:r>
                          <w:rPr>
                            <w:rFonts w:ascii="Cambria Math" w:hAnsi="Cambria Math"/>
                            <w:color w:val="000000" w:themeColor="text1"/>
                            <w:sz w:val="32"/>
                            <w:szCs w:val="32"/>
                          </w:rPr>
                          <m:t>1-</m:t>
                        </m:r>
                        <m:func>
                          <m:funcPr>
                            <m:ctrlPr>
                              <w:rPr>
                                <w:rFonts w:ascii="Cambria Math" w:hAnsi="Cambria Math"/>
                                <w:bCs/>
                                <w:i/>
                                <w:color w:val="000000" w:themeColor="text1"/>
                                <w:sz w:val="32"/>
                                <w:szCs w:val="32"/>
                              </w:rPr>
                            </m:ctrlPr>
                          </m:funcPr>
                          <m:fName>
                            <m:r>
                              <w:rPr>
                                <w:rFonts w:ascii="Cambria Math" w:hAnsi="Cambria Math"/>
                                <w:color w:val="000000" w:themeColor="text1"/>
                                <w:sz w:val="32"/>
                                <w:szCs w:val="32"/>
                              </w:rPr>
                              <m:t>exp</m:t>
                            </m:r>
                          </m:fName>
                          <m:e>
                            <m:d>
                              <m:dPr>
                                <m:ctrlPr>
                                  <w:rPr>
                                    <w:rFonts w:ascii="Cambria Math" w:hAnsi="Cambria Math"/>
                                    <w:bCs/>
                                    <w:i/>
                                    <w:color w:val="000000" w:themeColor="text1"/>
                                    <w:sz w:val="32"/>
                                    <w:szCs w:val="32"/>
                                  </w:rPr>
                                </m:ctrlPr>
                              </m:dPr>
                              <m:e>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e>
                        </m:func>
                      </m:e>
                    </m:d>
                    <m:r>
                      <w:rPr>
                        <w:rFonts w:ascii="Cambria Math" w:hAnsi="Cambria Math"/>
                        <w:color w:val="000000" w:themeColor="text1"/>
                        <w:sz w:val="32"/>
                        <w:szCs w:val="32"/>
                      </w:rPr>
                      <m:t xml:space="preserve"> when </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1</m:t>
                        </m:r>
                      </m:sub>
                    </m:sSub>
                    <m:r>
                      <w:rPr>
                        <w:rFonts w:ascii="Cambria Math" w:hAnsi="Cambria Math"/>
                        <w:color w:val="000000" w:themeColor="text1"/>
                        <w:sz w:val="32"/>
                        <w:szCs w:val="32"/>
                      </w:rPr>
                      <m:t>&lt;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2</m:t>
                        </m:r>
                      </m:sub>
                    </m:sSub>
                    <m:r>
                      <w:rPr>
                        <w:rFonts w:ascii="Cambria Math" w:hAnsi="Cambria Math"/>
                        <w:color w:val="000000" w:themeColor="text1"/>
                        <w:sz w:val="32"/>
                        <w:szCs w:val="32"/>
                      </w:rPr>
                      <m:t xml:space="preserve"> </m:t>
                    </m:r>
                  </m:e>
                </m:eqArr>
              </m:e>
            </m:d>
          </m:num>
          <m:den>
            <m:r>
              <w:rPr>
                <w:rFonts w:ascii="Cambria Math" w:hAnsi="Cambria Math"/>
                <w:color w:val="000000" w:themeColor="text1"/>
                <w:sz w:val="32"/>
                <w:szCs w:val="32"/>
              </w:rPr>
              <m:t>α=</m:t>
            </m:r>
            <m:f>
              <m:fP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c</m:t>
                            </m:r>
                          </m:sub>
                        </m:sSub>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t</m:t>
                            </m:r>
                          </m:sub>
                        </m:sSub>
                      </m:e>
                    </m:d>
                  </m:e>
                  <m:sub>
                    <m:r>
                      <w:rPr>
                        <w:rFonts w:ascii="Cambria Math" w:hAnsi="Cambria Math"/>
                        <w:color w:val="000000" w:themeColor="text1"/>
                        <w:sz w:val="32"/>
                        <w:szCs w:val="32"/>
                      </w:rPr>
                      <m:t>1</m:t>
                    </m:r>
                  </m:sub>
                </m:sSub>
              </m:num>
              <m:den>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c</m:t>
                            </m:r>
                          </m:sub>
                        </m:sSub>
                        <m:r>
                          <w:rPr>
                            <w:rFonts w:ascii="Cambria Math" w:hAnsi="Cambria Math"/>
                            <w:color w:val="000000" w:themeColor="text1"/>
                            <w:sz w:val="32"/>
                            <w:szCs w:val="32"/>
                          </w:rPr>
                          <m: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t</m:t>
                            </m:r>
                          </m:sub>
                        </m:sSub>
                      </m:e>
                    </m:d>
                  </m:e>
                  <m:sub>
                    <m:r>
                      <w:rPr>
                        <w:rFonts w:ascii="Cambria Math" w:hAnsi="Cambria Math"/>
                        <w:color w:val="000000" w:themeColor="text1"/>
                        <w:sz w:val="32"/>
                        <w:szCs w:val="32"/>
                      </w:rPr>
                      <m:t>2</m:t>
                    </m:r>
                  </m:sub>
                </m:sSub>
              </m:den>
            </m:f>
          </m:den>
        </m:f>
      </m:oMath>
      <w:r w:rsidR="001373B1" w:rsidRPr="001373B1">
        <w:rPr>
          <w:bCs/>
          <w:color w:val="000000" w:themeColor="text1"/>
          <w:sz w:val="24"/>
          <w:szCs w:val="24"/>
        </w:rPr>
        <w:t>,</w:t>
      </w:r>
      <w:r w:rsidR="00F5297D">
        <w:rPr>
          <w:color w:val="000000"/>
          <w:sz w:val="24"/>
        </w:rPr>
        <w:tab/>
      </w:r>
      <w:r w:rsidR="00F5297D">
        <w:rPr>
          <w:color w:val="000000"/>
          <w:sz w:val="24"/>
        </w:rPr>
        <w:tab/>
      </w:r>
      <w:r w:rsidR="00F5297D">
        <w:rPr>
          <w:color w:val="000000"/>
          <w:sz w:val="24"/>
        </w:rPr>
        <w:tab/>
        <w:t>(13)</w:t>
      </w:r>
    </w:p>
    <w:p w14:paraId="3B45214A" w14:textId="77777777" w:rsidR="00A43D6E" w:rsidRDefault="00000000" w:rsidP="00E1577D">
      <w:pPr>
        <w:widowControl/>
        <w:spacing w:after="0" w:line="480" w:lineRule="auto"/>
        <w:jc w:val="center"/>
        <w:rPr>
          <w:b/>
          <w:sz w:val="24"/>
        </w:rPr>
      </w:pPr>
      <m:oMath>
        <m:f>
          <m:fPr>
            <m:type m:val="noBar"/>
            <m:ctrlPr>
              <w:rPr>
                <w:rFonts w:ascii="Cambria Math" w:hAnsi="Cambria Math"/>
                <w:bCs/>
                <w:i/>
                <w:color w:val="000000" w:themeColor="text1"/>
                <w:sz w:val="32"/>
                <w:szCs w:val="32"/>
              </w:rPr>
            </m:ctrlPr>
          </m:fPr>
          <m:num>
            <m:r>
              <w:rPr>
                <w:rFonts w:ascii="Cambria Math" w:hAnsi="Cambria Math"/>
                <w:color w:val="000000" w:themeColor="text1"/>
                <w:sz w:val="32"/>
                <w:szCs w:val="32"/>
              </w:rPr>
              <m:t>C</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d>
              <m:dPr>
                <m:begChr m:val="{"/>
                <m:endChr m:val=""/>
                <m:ctrlPr>
                  <w:rPr>
                    <w:rFonts w:ascii="Cambria Math" w:hAnsi="Cambria Math"/>
                    <w:bCs/>
                    <w:i/>
                    <w:color w:val="000000" w:themeColor="text1"/>
                    <w:sz w:val="32"/>
                    <w:szCs w:val="32"/>
                  </w:rPr>
                </m:ctrlPr>
              </m:dPr>
              <m:e>
                <m:eqArr>
                  <m:eqArrPr>
                    <m:ctrlPr>
                      <w:rPr>
                        <w:rFonts w:ascii="Cambria Math" w:hAnsi="Cambria Math"/>
                        <w:bCs/>
                        <w:i/>
                        <w:color w:val="000000" w:themeColor="text1"/>
                        <w:sz w:val="32"/>
                        <w:szCs w:val="32"/>
                      </w:rPr>
                    </m:ctrlPr>
                  </m:eqArrPr>
                  <m:e>
                    <m:r>
                      <w:rPr>
                        <w:rFonts w:ascii="Cambria Math" w:hAnsi="Cambria Math"/>
                        <w:color w:val="000000" w:themeColor="text1"/>
                        <w:sz w:val="32"/>
                        <w:szCs w:val="32"/>
                      </w:rPr>
                      <m:t>exp</m:t>
                    </m:r>
                    <m:d>
                      <m:dPr>
                        <m:ctrlPr>
                          <w:rPr>
                            <w:rFonts w:ascii="Cambria Math" w:hAnsi="Cambria Math"/>
                            <w:bCs/>
                            <w:i/>
                            <w:color w:val="000000" w:themeColor="text1"/>
                            <w:sz w:val="32"/>
                            <w:szCs w:val="32"/>
                          </w:rPr>
                        </m:ctrlPr>
                      </m:dPr>
                      <m:e>
                        <m:r>
                          <w:rPr>
                            <w:rFonts w:ascii="Cambria Math" w:hAnsi="Cambria Math"/>
                            <w:color w:val="000000" w:themeColor="text1"/>
                            <w:sz w:val="32"/>
                            <w:szCs w:val="32"/>
                          </w:rPr>
                          <m:t>-1.08β</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+1.13βl</m:t>
                    </m:r>
                    <m:d>
                      <m:dPr>
                        <m:ctrlPr>
                          <w:rPr>
                            <w:rFonts w:ascii="Cambria Math" w:hAnsi="Cambria Math"/>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 xml:space="preserve"> when </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1</m:t>
                        </m:r>
                      </m:sub>
                    </m:sSub>
                    <m:r>
                      <w:rPr>
                        <w:rFonts w:ascii="Cambria Math" w:hAnsi="Cambria Math"/>
                        <w:color w:val="000000" w:themeColor="text1"/>
                        <w:sz w:val="32"/>
                        <w:szCs w:val="32"/>
                      </w:rPr>
                      <m:t>&gt;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2</m:t>
                        </m:r>
                      </m:sub>
                    </m:sSub>
                  </m:e>
                  <m:e>
                    <m:r>
                      <w:rPr>
                        <w:rFonts w:ascii="Cambria Math" w:hAnsi="Cambria Math"/>
                        <w:color w:val="000000" w:themeColor="text1"/>
                        <w:sz w:val="32"/>
                        <w:szCs w:val="32"/>
                      </w:rPr>
                      <m:t>0.08l</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f>
                      <m:fPr>
                        <m:ctrlPr>
                          <w:rPr>
                            <w:rFonts w:ascii="Cambria Math" w:hAnsi="Cambria Math"/>
                            <w:bCs/>
                            <w:i/>
                            <w:color w:val="000000" w:themeColor="text1"/>
                            <w:sz w:val="32"/>
                            <w:szCs w:val="32"/>
                          </w:rPr>
                        </m:ctrlPr>
                      </m:fPr>
                      <m:num>
                        <m:r>
                          <w:rPr>
                            <w:rFonts w:ascii="Cambria Math" w:hAnsi="Cambria Math"/>
                            <w:color w:val="000000" w:themeColor="text1"/>
                            <w:sz w:val="32"/>
                            <w:szCs w:val="32"/>
                          </w:rPr>
                          <m:t>γ</m:t>
                        </m:r>
                      </m:num>
                      <m:den>
                        <m:r>
                          <w:rPr>
                            <w:rFonts w:ascii="Cambria Math" w:hAnsi="Cambria Math"/>
                            <w:color w:val="000000" w:themeColor="text1"/>
                            <w:sz w:val="32"/>
                            <w:szCs w:val="32"/>
                          </w:rPr>
                          <m:t>K(</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r>
                          <w:rPr>
                            <w:rFonts w:ascii="Cambria Math" w:hAnsi="Cambria Math"/>
                            <w:color w:val="000000" w:themeColor="text1"/>
                            <w:sz w:val="32"/>
                            <w:szCs w:val="32"/>
                          </w:rPr>
                          <m:t>)</m:t>
                        </m:r>
                      </m:den>
                    </m:f>
                    <m:r>
                      <w:rPr>
                        <w:rFonts w:ascii="Cambria Math" w:hAnsi="Cambria Math"/>
                        <w:color w:val="000000" w:themeColor="text1"/>
                        <w:sz w:val="32"/>
                        <w:szCs w:val="32"/>
                      </w:rPr>
                      <m:t>exp(-</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r>
                      <w:rPr>
                        <w:rFonts w:ascii="Cambria Math" w:hAnsi="Cambria Math"/>
                        <w:color w:val="000000" w:themeColor="text1"/>
                        <w:sz w:val="32"/>
                        <w:szCs w:val="32"/>
                      </w:rPr>
                      <m:t xml:space="preserve">) when </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1</m:t>
                        </m:r>
                      </m:sub>
                    </m:sSub>
                    <m:r>
                      <w:rPr>
                        <w:rFonts w:ascii="Cambria Math" w:hAnsi="Cambria Math"/>
                        <w:color w:val="000000" w:themeColor="text1"/>
                        <w:sz w:val="32"/>
                        <w:szCs w:val="32"/>
                      </w:rPr>
                      <m:t>&lt;</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Z</m:t>
                        </m:r>
                      </m:e>
                      <m:sub>
                        <m:r>
                          <w:rPr>
                            <w:rFonts w:ascii="Cambria Math" w:hAnsi="Cambria Math"/>
                            <w:color w:val="000000" w:themeColor="text1"/>
                            <w:sz w:val="32"/>
                            <w:szCs w:val="32"/>
                          </w:rPr>
                          <m:t>2</m:t>
                        </m:r>
                      </m:sub>
                    </m:sSub>
                    <m:r>
                      <w:rPr>
                        <w:rFonts w:ascii="Cambria Math" w:hAnsi="Cambria Math"/>
                        <w:color w:val="000000" w:themeColor="text1"/>
                        <w:sz w:val="32"/>
                        <w:szCs w:val="32"/>
                      </w:rPr>
                      <m:t xml:space="preserve"> </m:t>
                    </m:r>
                  </m:e>
                </m:eqArr>
              </m:e>
            </m:d>
          </m:num>
          <m:den>
            <m:r>
              <w:rPr>
                <w:rFonts w:ascii="Cambria Math" w:hAnsi="Cambria Math"/>
                <w:color w:val="000000" w:themeColor="text1"/>
                <w:sz w:val="32"/>
                <w:szCs w:val="32"/>
              </w:rPr>
              <m:t>β=</m:t>
            </m:r>
            <m:f>
              <m:fP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t</m:t>
                            </m:r>
                          </m:sub>
                        </m:sSub>
                        <m:r>
                          <w:rPr>
                            <w:rFonts w:ascii="Cambria Math" w:hAnsi="Cambria Math"/>
                            <w:color w:val="000000" w:themeColor="text1"/>
                            <w:sz w:val="32"/>
                            <w:szCs w:val="32"/>
                          </w:rPr>
                          <m:t>/ρ</m:t>
                        </m:r>
                      </m:e>
                    </m:d>
                  </m:e>
                  <m:sub>
                    <m:r>
                      <w:rPr>
                        <w:rFonts w:ascii="Cambria Math" w:hAnsi="Cambria Math"/>
                        <w:color w:val="000000" w:themeColor="text1"/>
                        <w:sz w:val="32"/>
                        <w:szCs w:val="32"/>
                      </w:rPr>
                      <m:t>2</m:t>
                    </m:r>
                  </m:sub>
                </m:sSub>
              </m:num>
              <m:den>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t</m:t>
                            </m:r>
                          </m:sub>
                        </m:sSub>
                        <m:r>
                          <w:rPr>
                            <w:rFonts w:ascii="Cambria Math" w:hAnsi="Cambria Math"/>
                            <w:color w:val="000000" w:themeColor="text1"/>
                            <w:sz w:val="32"/>
                            <w:szCs w:val="32"/>
                          </w:rPr>
                          <m:t>/ρ</m:t>
                        </m:r>
                      </m:e>
                    </m:d>
                  </m:e>
                  <m:sub>
                    <m:r>
                      <w:rPr>
                        <w:rFonts w:ascii="Cambria Math" w:hAnsi="Cambria Math"/>
                        <w:color w:val="000000" w:themeColor="text1"/>
                        <w:sz w:val="32"/>
                        <w:szCs w:val="32"/>
                      </w:rPr>
                      <m:t>1</m:t>
                    </m:r>
                  </m:sub>
                </m:sSub>
              </m:den>
            </m:f>
            <m:r>
              <w:rPr>
                <w:rFonts w:ascii="Cambria Math" w:hAnsi="Cambria Math"/>
                <w:color w:val="000000" w:themeColor="text1"/>
                <w:sz w:val="32"/>
                <w:szCs w:val="32"/>
              </w:rPr>
              <m:t>,  γ=</m:t>
            </m:r>
            <m:f>
              <m:fP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c</m:t>
                            </m:r>
                          </m:sub>
                        </m:sSub>
                        <m:r>
                          <w:rPr>
                            <w:rFonts w:ascii="Cambria Math" w:hAnsi="Cambria Math"/>
                            <w:color w:val="000000" w:themeColor="text1"/>
                            <w:sz w:val="32"/>
                            <w:szCs w:val="32"/>
                          </w:rPr>
                          <m:t>/ρ</m:t>
                        </m:r>
                      </m:e>
                    </m:d>
                  </m:e>
                  <m:sub>
                    <m:r>
                      <w:rPr>
                        <w:rFonts w:ascii="Cambria Math" w:hAnsi="Cambria Math"/>
                        <w:color w:val="000000" w:themeColor="text1"/>
                        <w:sz w:val="32"/>
                        <w:szCs w:val="32"/>
                      </w:rPr>
                      <m:t>1</m:t>
                    </m:r>
                  </m:sub>
                </m:sSub>
              </m:num>
              <m:den>
                <m:sSub>
                  <m:sSubPr>
                    <m:ctrlPr>
                      <w:rPr>
                        <w:rFonts w:ascii="Cambria Math" w:hAnsi="Cambria Math"/>
                        <w:bCs/>
                        <w:i/>
                        <w:color w:val="000000" w:themeColor="text1"/>
                        <w:sz w:val="32"/>
                        <w:szCs w:val="32"/>
                      </w:rPr>
                    </m:ctrlPr>
                  </m:sSubPr>
                  <m:e>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μ</m:t>
                            </m:r>
                          </m:e>
                          <m:sub>
                            <m:r>
                              <w:rPr>
                                <w:rFonts w:ascii="Cambria Math" w:hAnsi="Cambria Math"/>
                                <w:color w:val="000000" w:themeColor="text1"/>
                                <w:sz w:val="32"/>
                                <w:szCs w:val="32"/>
                              </w:rPr>
                              <m:t>c</m:t>
                            </m:r>
                          </m:sub>
                        </m:sSub>
                        <m:r>
                          <w:rPr>
                            <w:rFonts w:ascii="Cambria Math" w:hAnsi="Cambria Math"/>
                            <w:color w:val="000000" w:themeColor="text1"/>
                            <w:sz w:val="32"/>
                            <w:szCs w:val="32"/>
                          </w:rPr>
                          <m:t>/ρ</m:t>
                        </m:r>
                      </m:e>
                    </m:d>
                  </m:e>
                  <m:sub>
                    <m:r>
                      <w:rPr>
                        <w:rFonts w:ascii="Cambria Math" w:hAnsi="Cambria Math"/>
                        <w:color w:val="000000" w:themeColor="text1"/>
                        <w:sz w:val="32"/>
                        <w:szCs w:val="32"/>
                      </w:rPr>
                      <m:t>2</m:t>
                    </m:r>
                  </m:sub>
                </m:sSub>
              </m:den>
            </m:f>
            <m:r>
              <w:rPr>
                <w:rFonts w:ascii="Cambria Math" w:hAnsi="Cambria Math"/>
                <w:color w:val="000000" w:themeColor="text1"/>
                <w:sz w:val="32"/>
                <w:szCs w:val="32"/>
              </w:rPr>
              <m:t>, l</m:t>
            </m:r>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m:t>
            </m:r>
            <m:f>
              <m:fPr>
                <m:ctrlPr>
                  <w:rPr>
                    <w:rFonts w:ascii="Cambria Math" w:hAnsi="Cambria Math"/>
                    <w:bCs/>
                    <w:i/>
                    <w:color w:val="000000" w:themeColor="text1"/>
                    <w:sz w:val="32"/>
                    <w:szCs w:val="32"/>
                  </w:rPr>
                </m:ctrlPr>
              </m:fPr>
              <m:num>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2</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e>
                </m:d>
                <m:r>
                  <w:rPr>
                    <w:rFonts w:ascii="Cambria Math" w:hAnsi="Cambria Math"/>
                    <w:color w:val="000000" w:themeColor="text1"/>
                    <w:sz w:val="32"/>
                    <w:szCs w:val="32"/>
                  </w:rPr>
                  <m:t>+1</m:t>
                </m:r>
              </m:num>
              <m:den>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B</m:t>
                    </m:r>
                  </m:e>
                  <m:sub>
                    <m:r>
                      <w:rPr>
                        <w:rFonts w:ascii="Cambria Math" w:hAnsi="Cambria Math"/>
                        <w:color w:val="000000" w:themeColor="text1"/>
                        <w:sz w:val="32"/>
                        <w:szCs w:val="32"/>
                      </w:rPr>
                      <m:t>1</m:t>
                    </m:r>
                  </m:sub>
                </m:sSub>
                <m:d>
                  <m:dPr>
                    <m:ctrlPr>
                      <w:rPr>
                        <w:rFonts w:ascii="Cambria Math" w:hAnsi="Cambria Math"/>
                        <w:bCs/>
                        <w:i/>
                        <w:color w:val="000000" w:themeColor="text1"/>
                        <w:sz w:val="32"/>
                        <w:szCs w:val="32"/>
                      </w:rPr>
                    </m:ctrlPr>
                  </m:dPr>
                  <m:e>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1</m:t>
                        </m:r>
                      </m:sub>
                    </m:sSub>
                  </m:e>
                </m:d>
                <m:r>
                  <w:rPr>
                    <w:rFonts w:ascii="Cambria Math" w:hAnsi="Cambria Math"/>
                    <w:color w:val="000000" w:themeColor="text1"/>
                    <w:sz w:val="32"/>
                    <w:szCs w:val="32"/>
                  </w:rPr>
                  <m:t>+1</m:t>
                </m:r>
              </m:den>
            </m:f>
            <m:r>
              <w:rPr>
                <w:rFonts w:ascii="Cambria Math" w:hAnsi="Cambria Math"/>
                <w:color w:val="000000" w:themeColor="text1"/>
                <w:sz w:val="32"/>
                <w:szCs w:val="32"/>
              </w:rPr>
              <m:t>[1-exp(-</m:t>
            </m:r>
            <m:sSub>
              <m:sSubPr>
                <m:ctrlPr>
                  <w:rPr>
                    <w:rFonts w:ascii="Cambria Math" w:hAnsi="Cambria Math"/>
                    <w:bCs/>
                    <w:i/>
                    <w:color w:val="000000" w:themeColor="text1"/>
                    <w:sz w:val="32"/>
                    <w:szCs w:val="32"/>
                  </w:rPr>
                </m:ctrlPr>
              </m:sSubPr>
              <m:e>
                <m:r>
                  <w:rPr>
                    <w:rFonts w:ascii="Cambria Math" w:hAnsi="Cambria Math"/>
                    <w:color w:val="000000" w:themeColor="text1"/>
                    <w:sz w:val="32"/>
                    <w:szCs w:val="32"/>
                  </w:rPr>
                  <m:t>x</m:t>
                </m:r>
              </m:e>
              <m:sub>
                <m:r>
                  <w:rPr>
                    <w:rFonts w:ascii="Cambria Math" w:hAnsi="Cambria Math"/>
                    <w:color w:val="000000" w:themeColor="text1"/>
                    <w:sz w:val="32"/>
                    <w:szCs w:val="32"/>
                  </w:rPr>
                  <m:t>2</m:t>
                </m:r>
              </m:sub>
            </m:sSub>
            <m:r>
              <w:rPr>
                <w:rFonts w:ascii="Cambria Math" w:hAnsi="Cambria Math"/>
                <w:color w:val="000000" w:themeColor="text1"/>
                <w:sz w:val="32"/>
                <w:szCs w:val="32"/>
              </w:rPr>
              <m:t>)]</m:t>
            </m:r>
          </m:den>
        </m:f>
      </m:oMath>
      <w:r w:rsidR="001373B1" w:rsidRPr="001373B1">
        <w:rPr>
          <w:bCs/>
          <w:color w:val="000000" w:themeColor="text1"/>
          <w:sz w:val="24"/>
          <w:szCs w:val="24"/>
        </w:rPr>
        <w:t>.</w:t>
      </w:r>
      <w:r w:rsidR="00F5297D">
        <w:rPr>
          <w:color w:val="000000"/>
          <w:sz w:val="24"/>
        </w:rPr>
        <w:tab/>
      </w:r>
      <w:r w:rsidR="00F5297D">
        <w:rPr>
          <w:color w:val="000000"/>
          <w:sz w:val="24"/>
        </w:rPr>
        <w:tab/>
      </w:r>
      <w:r w:rsidR="00F5297D">
        <w:rPr>
          <w:color w:val="000000"/>
          <w:sz w:val="24"/>
        </w:rPr>
        <w:tab/>
      </w:r>
      <w:r w:rsidR="00F5297D">
        <w:rPr>
          <w:color w:val="000000"/>
          <w:sz w:val="24"/>
        </w:rPr>
        <w:tab/>
        <w:t>(14)</w:t>
      </w:r>
    </w:p>
    <w:p w14:paraId="3B45214B" w14:textId="602F359F" w:rsidR="00A43D6E" w:rsidRPr="00D51345" w:rsidRDefault="000D07EC">
      <w:pPr>
        <w:pStyle w:val="a9"/>
        <w:numPr>
          <w:ilvl w:val="2"/>
          <w:numId w:val="13"/>
        </w:numPr>
        <w:spacing w:after="200" w:line="480" w:lineRule="auto"/>
        <w:jc w:val="left"/>
        <w:rPr>
          <w:b/>
          <w:i/>
          <w:sz w:val="24"/>
        </w:rPr>
      </w:pPr>
      <w:r w:rsidRPr="00D51345">
        <w:rPr>
          <w:b/>
          <w:i/>
          <w:sz w:val="24"/>
        </w:rPr>
        <w:t>Recycling Scenario</w:t>
      </w:r>
    </w:p>
    <w:p w14:paraId="2B0E9C83" w14:textId="129A34A0" w:rsidR="001373B1" w:rsidRDefault="000D07EC" w:rsidP="004754F8">
      <w:pPr>
        <w:spacing w:after="200" w:line="480" w:lineRule="auto"/>
        <w:ind w:firstLine="480"/>
        <w:jc w:val="left"/>
        <w:rPr>
          <w:sz w:val="24"/>
        </w:rPr>
      </w:pPr>
      <w:r>
        <w:rPr>
          <w:sz w:val="24"/>
        </w:rPr>
        <w:t xml:space="preserve">RUCAS assumes a comprehensive range of recycling scenarios for metallic radioactive waste, from its generation to the use of the final product </w:t>
      </w:r>
      <w:r w:rsidR="00470A73">
        <w:rPr>
          <w:sz w:val="24"/>
        </w:rPr>
        <w:t>[</w:t>
      </w:r>
      <w:r w:rsidR="00765311">
        <w:rPr>
          <w:sz w:val="24"/>
        </w:rPr>
        <w:t>11</w:t>
      </w:r>
      <w:r w:rsidR="00470A73">
        <w:rPr>
          <w:sz w:val="24"/>
        </w:rPr>
        <w:t>,12-14]</w:t>
      </w:r>
      <w:r>
        <w:rPr>
          <w:sz w:val="24"/>
        </w:rPr>
        <w:t xml:space="preserve">. As depicted in </w:t>
      </w:r>
      <w:r w:rsidR="005D7FC2">
        <w:rPr>
          <w:bCs/>
          <w:sz w:val="24"/>
          <w:szCs w:val="24"/>
        </w:rPr>
        <w:fldChar w:fldCharType="begin"/>
      </w:r>
      <w:r w:rsidR="005D7FC2">
        <w:rPr>
          <w:sz w:val="24"/>
        </w:rPr>
        <w:instrText xml:space="preserve"> REF _Ref171324308 \h </w:instrText>
      </w:r>
      <w:r w:rsidR="005D7FC2">
        <w:rPr>
          <w:bCs/>
          <w:sz w:val="24"/>
          <w:szCs w:val="24"/>
        </w:rPr>
      </w:r>
      <w:r w:rsidR="005D7FC2">
        <w:rPr>
          <w:bCs/>
          <w:sz w:val="24"/>
          <w:szCs w:val="24"/>
        </w:rPr>
        <w:fldChar w:fldCharType="separate"/>
      </w:r>
      <w:r w:rsidR="00BF6712" w:rsidRPr="001967BE">
        <w:rPr>
          <w:sz w:val="24"/>
          <w:szCs w:val="24"/>
        </w:rPr>
        <w:t xml:space="preserve">Fig. </w:t>
      </w:r>
      <w:r w:rsidR="00BF6712">
        <w:rPr>
          <w:noProof/>
          <w:sz w:val="24"/>
          <w:szCs w:val="24"/>
        </w:rPr>
        <w:t>4</w:t>
      </w:r>
      <w:r w:rsidR="005D7FC2">
        <w:rPr>
          <w:bCs/>
          <w:sz w:val="24"/>
          <w:szCs w:val="24"/>
        </w:rPr>
        <w:fldChar w:fldCharType="end"/>
      </w:r>
      <w:r>
        <w:rPr>
          <w:sz w:val="24"/>
        </w:rPr>
        <w:t xml:space="preserve">, the recycling process is divided into seven steps: (1) scrap delivery, (2) scrap smelting, (3) casting ingot, (4) ingot delivery, (5) product fabrication, (6) product distribution, and (7) product end use. During the initial six steps, the potential exposure to workers, such as loaders, drivers, processing facility workers, and foundry workers, is considered. In the product end-use step, the potential exposure is assumed to arise from the use of the final product, such as parking lots, home/office buildings, furniture, and appliances produced from the byproducts generated from the recycling process. Thus, RUCAS comprises 55 recycling scenarios targeting both workers </w:t>
      </w:r>
      <w:r>
        <w:rPr>
          <w:sz w:val="24"/>
        </w:rPr>
        <w:lastRenderedPageBreak/>
        <w:t>and product users to evaluate the radiological risk arising from radioactive scrap recycling.</w:t>
      </w:r>
    </w:p>
    <w:p w14:paraId="3B45214E" w14:textId="6A65E061" w:rsidR="00A43D6E" w:rsidRDefault="000D07EC" w:rsidP="001373B1">
      <w:pPr>
        <w:widowControl/>
        <w:jc w:val="left"/>
        <w:rPr>
          <w:b/>
          <w:sz w:val="24"/>
        </w:rPr>
      </w:pPr>
      <w:r>
        <w:rPr>
          <w:b/>
          <w:sz w:val="24"/>
        </w:rPr>
        <w:t>3. Benchmarking of dose assessment software</w:t>
      </w:r>
    </w:p>
    <w:p w14:paraId="3B452150" w14:textId="77777777" w:rsidR="00A43D6E" w:rsidRDefault="000D07EC" w:rsidP="00D51345">
      <w:pPr>
        <w:spacing w:after="200" w:line="480" w:lineRule="auto"/>
        <w:ind w:firstLine="480"/>
        <w:jc w:val="left"/>
        <w:rPr>
          <w:b/>
          <w:sz w:val="24"/>
        </w:rPr>
      </w:pPr>
      <w:r>
        <w:rPr>
          <w:sz w:val="24"/>
        </w:rPr>
        <w:t xml:space="preserve">In this study, several benchmarks of RUCAS were used with RESRAD-RECYCLE and MS to validate its capability for the risk assessment of contaminated scrap metal recycling. Notwithstanding its lack of updates and maintenance, RESRAD-RECYCLE was selected first for comparison because it reflects the overall recycling flow of metallic radioactive waste, and the dose assessment methodology for internal exposure has remained largely unchanged. Owing to the incompatibility of RESRAD-RECYCLE with modern computer operating systems, the results of a validation conducted by the Swedish Radiation Protection Authority (SSI) using RESRAD-RECYCLE were referenced in this study </w:t>
      </w:r>
      <w:r w:rsidR="00765311">
        <w:rPr>
          <w:sz w:val="24"/>
        </w:rPr>
        <w:t>[34</w:t>
      </w:r>
      <w:r w:rsidR="00470A73">
        <w:rPr>
          <w:sz w:val="24"/>
        </w:rPr>
        <w:t>]</w:t>
      </w:r>
      <w:r>
        <w:rPr>
          <w:sz w:val="24"/>
        </w:rPr>
        <w:t xml:space="preserve">. However, because RUCAS applies an updated external dose assessment model, relying solely on RESRAD-RECYCLE for validation does not adequately confirm the reliability of the external dose assessment model. MS, which is consistently used for external dose and shielding effect assessments, was also selected for comparison to further ensure the reliability and evaluate the additional functionalities of RUCAS. </w:t>
      </w:r>
    </w:p>
    <w:p w14:paraId="3B452151" w14:textId="472E4B86" w:rsidR="00A43D6E" w:rsidRPr="00D51345" w:rsidRDefault="000D07EC">
      <w:pPr>
        <w:pStyle w:val="a9"/>
        <w:numPr>
          <w:ilvl w:val="1"/>
          <w:numId w:val="22"/>
        </w:numPr>
        <w:spacing w:after="200" w:line="480" w:lineRule="auto"/>
        <w:jc w:val="left"/>
        <w:rPr>
          <w:b/>
          <w:i/>
          <w:sz w:val="24"/>
        </w:rPr>
      </w:pPr>
      <w:r w:rsidRPr="00D51345">
        <w:rPr>
          <w:b/>
          <w:i/>
          <w:sz w:val="24"/>
        </w:rPr>
        <w:t>Benchmarking for Recycling Scenarios</w:t>
      </w:r>
    </w:p>
    <w:p w14:paraId="3B45215A" w14:textId="6AC30EF8" w:rsidR="00A43D6E" w:rsidRDefault="000D07EC" w:rsidP="00D51345">
      <w:pPr>
        <w:spacing w:after="200" w:line="480" w:lineRule="auto"/>
        <w:ind w:firstLine="480"/>
        <w:jc w:val="left"/>
        <w:rPr>
          <w:color w:val="000000"/>
          <w:sz w:val="24"/>
        </w:rPr>
      </w:pPr>
      <w:r>
        <w:rPr>
          <w:sz w:val="24"/>
        </w:rPr>
        <w:t xml:space="preserve">The first benchmark addresses the validation of the multi-scenario calculation capability of RUCAS. </w:t>
      </w:r>
      <w:r w:rsidR="00085B27">
        <w:rPr>
          <w:bCs/>
          <w:sz w:val="24"/>
          <w:szCs w:val="24"/>
        </w:rPr>
        <w:fldChar w:fldCharType="begin"/>
      </w:r>
      <w:r w:rsidR="00085B27">
        <w:rPr>
          <w:sz w:val="24"/>
        </w:rPr>
        <w:instrText xml:space="preserve"> REF _Ref171323625 \h </w:instrText>
      </w:r>
      <w:r w:rsidR="00085B27">
        <w:rPr>
          <w:bCs/>
          <w:sz w:val="24"/>
          <w:szCs w:val="24"/>
        </w:rPr>
      </w:r>
      <w:r w:rsidR="00085B27">
        <w:rPr>
          <w:bCs/>
          <w:sz w:val="24"/>
          <w:szCs w:val="24"/>
        </w:rPr>
        <w:fldChar w:fldCharType="separate"/>
      </w:r>
      <w:r w:rsidR="00BF6712" w:rsidRPr="00C26190">
        <w:rPr>
          <w:sz w:val="24"/>
          <w:szCs w:val="24"/>
        </w:rPr>
        <w:t xml:space="preserve">Table </w:t>
      </w:r>
      <w:r w:rsidR="00BF6712">
        <w:rPr>
          <w:noProof/>
          <w:sz w:val="24"/>
          <w:szCs w:val="24"/>
        </w:rPr>
        <w:t>2</w:t>
      </w:r>
      <w:r w:rsidR="00085B27">
        <w:rPr>
          <w:bCs/>
          <w:sz w:val="24"/>
          <w:szCs w:val="24"/>
        </w:rPr>
        <w:fldChar w:fldCharType="end"/>
      </w:r>
      <w:r>
        <w:rPr>
          <w:sz w:val="24"/>
        </w:rPr>
        <w:t xml:space="preserve"> shows the conditions used for the benchmark, with RUCAS and RESRAD-RECYCLE utilizing the built-in scenarios for evaluation. Because MS does not support scenario evaluation, it replicates the exposure models for each scenario </w:t>
      </w:r>
      <w:r w:rsidR="00B8431A">
        <w:rPr>
          <w:sz w:val="24"/>
        </w:rPr>
        <w:t>(</w:t>
      </w:r>
      <w:r w:rsidR="00085B27">
        <w:rPr>
          <w:bCs/>
          <w:sz w:val="24"/>
          <w:szCs w:val="24"/>
        </w:rPr>
        <w:fldChar w:fldCharType="begin"/>
      </w:r>
      <w:r w:rsidR="00085B27">
        <w:rPr>
          <w:sz w:val="24"/>
        </w:rPr>
        <w:instrText xml:space="preserve"> REF _Ref171323625 \h </w:instrText>
      </w:r>
      <w:r w:rsidR="00085B27">
        <w:rPr>
          <w:bCs/>
          <w:sz w:val="24"/>
          <w:szCs w:val="24"/>
        </w:rPr>
      </w:r>
      <w:r w:rsidR="00085B27">
        <w:rPr>
          <w:bCs/>
          <w:sz w:val="24"/>
          <w:szCs w:val="24"/>
        </w:rPr>
        <w:fldChar w:fldCharType="separate"/>
      </w:r>
      <w:r w:rsidR="00BF6712" w:rsidRPr="00C26190">
        <w:rPr>
          <w:sz w:val="24"/>
          <w:szCs w:val="24"/>
        </w:rPr>
        <w:t xml:space="preserve">Table </w:t>
      </w:r>
      <w:r w:rsidR="00BF6712">
        <w:rPr>
          <w:noProof/>
          <w:sz w:val="24"/>
          <w:szCs w:val="24"/>
        </w:rPr>
        <w:t>2</w:t>
      </w:r>
      <w:r w:rsidR="00085B27">
        <w:rPr>
          <w:bCs/>
          <w:sz w:val="24"/>
          <w:szCs w:val="24"/>
        </w:rPr>
        <w:fldChar w:fldCharType="end"/>
      </w:r>
      <w:r w:rsidR="00B8431A">
        <w:rPr>
          <w:sz w:val="24"/>
        </w:rPr>
        <w:t>)</w:t>
      </w:r>
      <w:r>
        <w:rPr>
          <w:sz w:val="24"/>
        </w:rPr>
        <w:t xml:space="preserve"> and performs iterative calculations. The recycling scenarios considered the melting of stainless steel from the structural components of nuclear fuel assemblies at the Swedish nuclear power plant and were divided into </w:t>
      </w:r>
      <w:r>
        <w:rPr>
          <w:sz w:val="24"/>
        </w:rPr>
        <w:lastRenderedPageBreak/>
        <w:t xml:space="preserve">six scenarios </w:t>
      </w:r>
      <w:r w:rsidR="00765311">
        <w:rPr>
          <w:sz w:val="24"/>
        </w:rPr>
        <w:t>[34</w:t>
      </w:r>
      <w:r w:rsidR="00773A11">
        <w:rPr>
          <w:sz w:val="24"/>
        </w:rPr>
        <w:t>]</w:t>
      </w:r>
      <w:r w:rsidR="00402749">
        <w:rPr>
          <w:rFonts w:hint="eastAsia"/>
          <w:sz w:val="24"/>
          <w:lang w:eastAsia="ko-KR"/>
        </w:rPr>
        <w:t xml:space="preserve">. </w:t>
      </w:r>
      <w:r>
        <w:rPr>
          <w:sz w:val="24"/>
        </w:rPr>
        <w:t>The scenarios were based on the actual proximity of the workers to the source, the duration of their work, and the measured concentrations of radionuclides at the time of processing. The radionuclides considered for dose assessment included Co-60, Sb-125, Cs-134, Cs-137, and Eu-154.</w:t>
      </w:r>
    </w:p>
    <w:p w14:paraId="3B45215B" w14:textId="77777777" w:rsidR="00A43D6E" w:rsidRPr="00D51345" w:rsidRDefault="000D07EC">
      <w:pPr>
        <w:pStyle w:val="a9"/>
        <w:numPr>
          <w:ilvl w:val="1"/>
          <w:numId w:val="22"/>
        </w:numPr>
        <w:spacing w:after="200" w:line="480" w:lineRule="auto"/>
        <w:jc w:val="left"/>
        <w:rPr>
          <w:b/>
          <w:i/>
          <w:sz w:val="24"/>
        </w:rPr>
      </w:pPr>
      <w:r w:rsidRPr="00D51345">
        <w:rPr>
          <w:b/>
          <w:i/>
          <w:sz w:val="24"/>
        </w:rPr>
        <w:t>Benchmarking for Shielding Effect</w:t>
      </w:r>
    </w:p>
    <w:p w14:paraId="3B452162" w14:textId="530FA2C1" w:rsidR="00A43D6E" w:rsidRDefault="000D07EC" w:rsidP="00D51345">
      <w:pPr>
        <w:spacing w:after="200" w:line="480" w:lineRule="auto"/>
        <w:ind w:firstLine="480"/>
        <w:jc w:val="left"/>
        <w:rPr>
          <w:i/>
          <w:sz w:val="24"/>
          <w:lang w:eastAsia="ko-KR"/>
        </w:rPr>
      </w:pPr>
      <w:r>
        <w:rPr>
          <w:sz w:val="24"/>
        </w:rPr>
        <w:t xml:space="preserve">This study utilized another benchmark for the shielding effect calculation capabilities of RUCAS by shielding the scenarios suggested in the RESRAD-RECYCLE validation report </w:t>
      </w:r>
      <w:r w:rsidR="00F30629">
        <w:rPr>
          <w:rFonts w:hint="eastAsia"/>
          <w:sz w:val="24"/>
          <w:lang w:eastAsia="ko-KR"/>
        </w:rPr>
        <w:t>[34].</w:t>
      </w:r>
      <w:r>
        <w:rPr>
          <w:sz w:val="24"/>
        </w:rPr>
        <w:t xml:space="preserve"> A 30</w:t>
      </w:r>
      <w:r w:rsidR="00022373">
        <w:rPr>
          <w:sz w:val="24"/>
        </w:rPr>
        <w:t>-</w:t>
      </w:r>
      <w:r>
        <w:rPr>
          <w:sz w:val="24"/>
        </w:rPr>
        <w:t xml:space="preserve">cm concrete shielding was included owing to the default recycling scenarios of RESRAD-RECYCLE. The scenarios used for benchmarking, detailed in </w:t>
      </w:r>
      <w:r w:rsidR="009A1175">
        <w:rPr>
          <w:bCs/>
          <w:sz w:val="24"/>
          <w:szCs w:val="24"/>
        </w:rPr>
        <w:fldChar w:fldCharType="begin"/>
      </w:r>
      <w:r w:rsidR="009A1175">
        <w:rPr>
          <w:sz w:val="24"/>
        </w:rPr>
        <w:instrText xml:space="preserve"> REF bm281 \h </w:instrText>
      </w:r>
      <w:r w:rsidR="009A1175">
        <w:rPr>
          <w:bCs/>
          <w:sz w:val="24"/>
          <w:szCs w:val="24"/>
        </w:rPr>
      </w:r>
      <w:r w:rsidR="009A1175">
        <w:rPr>
          <w:bCs/>
          <w:sz w:val="24"/>
          <w:szCs w:val="24"/>
        </w:rPr>
        <w:fldChar w:fldCharType="separate"/>
      </w:r>
      <w:r w:rsidR="00BF6712">
        <w:rPr>
          <w:sz w:val="24"/>
        </w:rPr>
        <w:t xml:space="preserve">Table </w:t>
      </w:r>
      <w:r w:rsidR="00BF6712">
        <w:rPr>
          <w:noProof/>
          <w:sz w:val="24"/>
          <w:szCs w:val="24"/>
        </w:rPr>
        <w:t>3</w:t>
      </w:r>
      <w:r w:rsidR="009A1175">
        <w:rPr>
          <w:bCs/>
          <w:sz w:val="24"/>
          <w:szCs w:val="24"/>
        </w:rPr>
        <w:fldChar w:fldCharType="end"/>
      </w:r>
      <w:r>
        <w:rPr>
          <w:sz w:val="24"/>
        </w:rPr>
        <w:t>, cover various stages of the operations at the smelters</w:t>
      </w:r>
      <w:r w:rsidR="00402749">
        <w:rPr>
          <w:rFonts w:hint="eastAsia"/>
          <w:sz w:val="24"/>
          <w:lang w:eastAsia="ko-KR"/>
        </w:rPr>
        <w:t xml:space="preserve">. </w:t>
      </w:r>
      <w:r>
        <w:rPr>
          <w:sz w:val="24"/>
        </w:rPr>
        <w:t xml:space="preserve">These scenarios represent a distinct, multilayered configuration in which the source and shielding materials differ significantly. The methodology proposed by Lin and Jiang </w:t>
      </w:r>
      <w:r w:rsidR="00E07301">
        <w:rPr>
          <w:sz w:val="24"/>
        </w:rPr>
        <w:t>[33]</w:t>
      </w:r>
      <w:r>
        <w:rPr>
          <w:sz w:val="24"/>
        </w:rPr>
        <w:t xml:space="preserve"> in Eq. (14)</w:t>
      </w:r>
      <w:r>
        <w:rPr>
          <w:color w:val="FF0000"/>
          <w:sz w:val="24"/>
        </w:rPr>
        <w:t xml:space="preserve"> </w:t>
      </w:r>
      <w:r>
        <w:rPr>
          <w:sz w:val="24"/>
        </w:rPr>
        <w:t xml:space="preserve">was applied to RUCAS for this benchmarking. The dose assessment considered radionuclides at a concentration of 1 </w:t>
      </w:r>
      <w:proofErr w:type="spellStart"/>
      <w:r>
        <w:rPr>
          <w:sz w:val="24"/>
        </w:rPr>
        <w:t>Bq</w:t>
      </w:r>
      <w:proofErr w:type="spellEnd"/>
      <w:r>
        <w:rPr>
          <w:sz w:val="24"/>
        </w:rPr>
        <w:t xml:space="preserve">/g, including Ac-227, Am-241, Co-60, Cs-137, Pu-239, U-238, and Zn-65 </w:t>
      </w:r>
      <w:r w:rsidR="00765311">
        <w:rPr>
          <w:sz w:val="24"/>
        </w:rPr>
        <w:t>[34</w:t>
      </w:r>
      <w:r w:rsidR="00E07301">
        <w:rPr>
          <w:sz w:val="24"/>
        </w:rPr>
        <w:t>]</w:t>
      </w:r>
      <w:r>
        <w:rPr>
          <w:sz w:val="24"/>
        </w:rPr>
        <w:t xml:space="preserve">. The mass partitioning factors were 90% for the ingots, 10% for the slag, and 1% for the dust </w:t>
      </w:r>
      <w:r w:rsidR="00765311">
        <w:rPr>
          <w:sz w:val="24"/>
        </w:rPr>
        <w:t>[35,36</w:t>
      </w:r>
      <w:r w:rsidR="00935F3D">
        <w:rPr>
          <w:sz w:val="24"/>
        </w:rPr>
        <w:t>,11]</w:t>
      </w:r>
      <w:r>
        <w:rPr>
          <w:sz w:val="24"/>
        </w:rPr>
        <w:t xml:space="preserve">. The radionuclide partitioning factors are </w:t>
      </w:r>
      <w:r w:rsidR="00402749">
        <w:rPr>
          <w:rFonts w:hint="eastAsia"/>
          <w:sz w:val="24"/>
          <w:lang w:eastAsia="ko-KR"/>
        </w:rPr>
        <w:t>used</w:t>
      </w:r>
      <w:r w:rsidR="00402749">
        <w:rPr>
          <w:sz w:val="24"/>
        </w:rPr>
        <w:t xml:space="preserve"> </w:t>
      </w:r>
      <w:r w:rsidR="00402749" w:rsidRPr="00402749">
        <w:rPr>
          <w:rFonts w:hint="eastAsia"/>
          <w:sz w:val="24"/>
          <w:lang w:eastAsia="ko-KR"/>
        </w:rPr>
        <w:t xml:space="preserve">according to previous </w:t>
      </w:r>
      <w:proofErr w:type="gramStart"/>
      <w:r w:rsidR="00402749" w:rsidRPr="00402749">
        <w:rPr>
          <w:rFonts w:hint="eastAsia"/>
          <w:sz w:val="24"/>
          <w:lang w:eastAsia="ko-KR"/>
        </w:rPr>
        <w:t>researches</w:t>
      </w:r>
      <w:proofErr w:type="gramEnd"/>
      <w:r>
        <w:rPr>
          <w:sz w:val="24"/>
        </w:rPr>
        <w:t xml:space="preserve"> </w:t>
      </w:r>
      <w:r w:rsidR="00F30629">
        <w:rPr>
          <w:rFonts w:hint="eastAsia"/>
          <w:sz w:val="24"/>
          <w:lang w:eastAsia="ko-KR"/>
        </w:rPr>
        <w:t>[</w:t>
      </w:r>
      <w:r w:rsidR="006D5961">
        <w:rPr>
          <w:sz w:val="24"/>
        </w:rPr>
        <w:t>3</w:t>
      </w:r>
      <w:r w:rsidR="0045180C">
        <w:rPr>
          <w:sz w:val="24"/>
        </w:rPr>
        <w:t>7</w:t>
      </w:r>
      <w:r w:rsidR="006D5961">
        <w:rPr>
          <w:sz w:val="24"/>
        </w:rPr>
        <w:t>,3</w:t>
      </w:r>
      <w:r w:rsidR="0045180C">
        <w:rPr>
          <w:sz w:val="24"/>
        </w:rPr>
        <w:t>6</w:t>
      </w:r>
      <w:r w:rsidR="006D5961">
        <w:rPr>
          <w:sz w:val="24"/>
        </w:rPr>
        <w:t>,11]</w:t>
      </w:r>
      <w:r>
        <w:rPr>
          <w:sz w:val="24"/>
        </w:rPr>
        <w:t>.</w:t>
      </w:r>
    </w:p>
    <w:p w14:paraId="3B452163" w14:textId="77777777" w:rsidR="00A43D6E" w:rsidRPr="00D51345" w:rsidRDefault="000D07EC">
      <w:pPr>
        <w:pStyle w:val="a9"/>
        <w:numPr>
          <w:ilvl w:val="1"/>
          <w:numId w:val="22"/>
        </w:numPr>
        <w:spacing w:after="200" w:line="480" w:lineRule="auto"/>
        <w:jc w:val="left"/>
        <w:rPr>
          <w:b/>
          <w:i/>
          <w:sz w:val="24"/>
        </w:rPr>
      </w:pPr>
      <w:r w:rsidRPr="00D51345">
        <w:rPr>
          <w:b/>
          <w:i/>
          <w:sz w:val="24"/>
        </w:rPr>
        <w:t>Benchmarking for Source Geometry</w:t>
      </w:r>
    </w:p>
    <w:p w14:paraId="3B452165" w14:textId="756B4CBC" w:rsidR="00A43D6E" w:rsidRDefault="000D07EC" w:rsidP="00D51345">
      <w:pPr>
        <w:spacing w:after="200" w:line="480" w:lineRule="auto"/>
        <w:ind w:firstLine="480"/>
        <w:jc w:val="left"/>
        <w:rPr>
          <w:sz w:val="24"/>
        </w:rPr>
      </w:pPr>
      <w:r>
        <w:rPr>
          <w:sz w:val="24"/>
        </w:rPr>
        <w:t xml:space="preserve">The final benchmarking was used to verify the enhanced functionalities of RUCAS related to external dose assessment in realistic radiation scenarios using various comparable geometries and shielding. Specifically, the study evaluated the doses for five source geometries: (1) cylinder, (2) disk, (3) plane, (4) rectangular volume, and (5) sphere with concrete medium shielding. The evaluation considered eleven radionuclides that are prominent in decommissioning waste and are </w:t>
      </w:r>
      <w:r>
        <w:rPr>
          <w:sz w:val="24"/>
        </w:rPr>
        <w:lastRenderedPageBreak/>
        <w:t xml:space="preserve">known to emit high-energy photons, according to the IAEA </w:t>
      </w:r>
      <w:r w:rsidR="006D5961">
        <w:rPr>
          <w:sz w:val="24"/>
        </w:rPr>
        <w:t>[3</w:t>
      </w:r>
      <w:r w:rsidR="0045180C">
        <w:rPr>
          <w:sz w:val="24"/>
        </w:rPr>
        <w:t>8</w:t>
      </w:r>
      <w:r w:rsidR="009803BA">
        <w:rPr>
          <w:sz w:val="24"/>
        </w:rPr>
        <w:t>]</w:t>
      </w:r>
      <w:r>
        <w:rPr>
          <w:sz w:val="24"/>
        </w:rPr>
        <w:t xml:space="preserve">. These include Co-60, Mn-54, Cs-137, Sb-125, Eu-152, and Eu-154 as gamma emitters dominant in decommissioning waste, and Zn-65, Ru-106, Ag-110m, and Ce-144 as additional gamma emitters at a concentration of 1 </w:t>
      </w:r>
      <w:proofErr w:type="spellStart"/>
      <w:r>
        <w:rPr>
          <w:sz w:val="24"/>
        </w:rPr>
        <w:t>Bq</w:t>
      </w:r>
      <w:proofErr w:type="spellEnd"/>
      <w:r>
        <w:rPr>
          <w:sz w:val="24"/>
        </w:rPr>
        <w:t>/g. For radioactive sources, it was assumed that a 30</w:t>
      </w:r>
      <w:r w:rsidR="00022373">
        <w:rPr>
          <w:sz w:val="24"/>
        </w:rPr>
        <w:t xml:space="preserve"> </w:t>
      </w:r>
      <w:r>
        <w:rPr>
          <w:sz w:val="24"/>
        </w:rPr>
        <w:t xml:space="preserve">cm-thick concrete barrier shielded 10 tons of scrap metal, and workers were positioned 200 cm away from the source. </w:t>
      </w:r>
      <w:r w:rsidR="009A1175">
        <w:rPr>
          <w:bCs/>
          <w:sz w:val="24"/>
          <w:szCs w:val="24"/>
        </w:rPr>
        <w:fldChar w:fldCharType="begin"/>
      </w:r>
      <w:r w:rsidR="009A1175">
        <w:rPr>
          <w:sz w:val="24"/>
        </w:rPr>
        <w:instrText xml:space="preserve"> REF bm286 \h </w:instrText>
      </w:r>
      <w:r w:rsidR="009A1175">
        <w:rPr>
          <w:bCs/>
          <w:sz w:val="24"/>
          <w:szCs w:val="24"/>
        </w:rPr>
      </w:r>
      <w:r w:rsidR="009A1175">
        <w:rPr>
          <w:bCs/>
          <w:sz w:val="24"/>
          <w:szCs w:val="24"/>
        </w:rPr>
        <w:fldChar w:fldCharType="separate"/>
      </w:r>
      <w:r w:rsidR="00BF6712">
        <w:rPr>
          <w:sz w:val="24"/>
        </w:rPr>
        <w:t xml:space="preserve">Table </w:t>
      </w:r>
      <w:r w:rsidR="00BF6712">
        <w:rPr>
          <w:noProof/>
          <w:sz w:val="24"/>
          <w:szCs w:val="24"/>
        </w:rPr>
        <w:t>4</w:t>
      </w:r>
      <w:r w:rsidR="009A1175">
        <w:rPr>
          <w:bCs/>
          <w:sz w:val="24"/>
          <w:szCs w:val="24"/>
        </w:rPr>
        <w:fldChar w:fldCharType="end"/>
      </w:r>
      <w:r>
        <w:rPr>
          <w:sz w:val="24"/>
        </w:rPr>
        <w:t xml:space="preserve"> presents the exposure scenario conditions used in the benchmarking. In this benchmarking, RUCAS utilized both formulas of the multilayer buildup factor in </w:t>
      </w:r>
      <w:proofErr w:type="spellStart"/>
      <w:r>
        <w:rPr>
          <w:sz w:val="24"/>
        </w:rPr>
        <w:t>Eqs</w:t>
      </w:r>
      <w:proofErr w:type="spellEnd"/>
      <w:r>
        <w:rPr>
          <w:sz w:val="24"/>
        </w:rPr>
        <w:t xml:space="preserve">. (13) and (14) </w:t>
      </w:r>
      <w:r w:rsidR="009803BA">
        <w:rPr>
          <w:sz w:val="24"/>
        </w:rPr>
        <w:t>[32,33]</w:t>
      </w:r>
      <w:r>
        <w:rPr>
          <w:sz w:val="24"/>
        </w:rPr>
        <w:t>, allowing for a comparative analysis of these methodologies.</w:t>
      </w:r>
    </w:p>
    <w:p w14:paraId="3B452166" w14:textId="77777777" w:rsidR="00A43D6E" w:rsidRDefault="000D07EC">
      <w:pPr>
        <w:spacing w:after="200" w:line="480" w:lineRule="auto"/>
        <w:jc w:val="left"/>
        <w:rPr>
          <w:b/>
          <w:sz w:val="24"/>
        </w:rPr>
      </w:pPr>
      <w:r>
        <w:rPr>
          <w:b/>
          <w:sz w:val="24"/>
        </w:rPr>
        <w:t>4. Results</w:t>
      </w:r>
    </w:p>
    <w:p w14:paraId="3B452167" w14:textId="77777777" w:rsidR="00A43D6E" w:rsidRPr="00D51345" w:rsidRDefault="000D07EC">
      <w:pPr>
        <w:spacing w:after="200" w:line="480" w:lineRule="auto"/>
        <w:jc w:val="left"/>
        <w:rPr>
          <w:b/>
          <w:i/>
          <w:sz w:val="24"/>
        </w:rPr>
      </w:pPr>
      <w:r w:rsidRPr="00D51345">
        <w:rPr>
          <w:b/>
          <w:i/>
          <w:sz w:val="24"/>
        </w:rPr>
        <w:t>4.1 Benchmarking Results for Recycling Scenarios</w:t>
      </w:r>
    </w:p>
    <w:p w14:paraId="3B452169" w14:textId="7DBC02E6" w:rsidR="00A43D6E" w:rsidRPr="00402749" w:rsidRDefault="000D07EC" w:rsidP="00402749">
      <w:pPr>
        <w:spacing w:after="200" w:line="480" w:lineRule="auto"/>
        <w:ind w:firstLine="480"/>
        <w:jc w:val="left"/>
        <w:rPr>
          <w:b/>
          <w:sz w:val="24"/>
          <w:lang w:eastAsia="ko-KR"/>
        </w:rPr>
      </w:pPr>
      <w:r>
        <w:rPr>
          <w:color w:val="000000"/>
          <w:sz w:val="24"/>
        </w:rPr>
        <w:t xml:space="preserve">For the six scenarios in this study involving the melting of </w:t>
      </w:r>
      <w:proofErr w:type="gramStart"/>
      <w:r>
        <w:rPr>
          <w:color w:val="000000"/>
          <w:sz w:val="24"/>
        </w:rPr>
        <w:t>stainless steel</w:t>
      </w:r>
      <w:proofErr w:type="gramEnd"/>
      <w:r>
        <w:rPr>
          <w:color w:val="000000"/>
          <w:sz w:val="24"/>
        </w:rPr>
        <w:t xml:space="preserve"> structures from nuclear fuel assemblies, </w:t>
      </w:r>
      <w:r w:rsidR="009A1175">
        <w:rPr>
          <w:bCs/>
          <w:color w:val="000000" w:themeColor="text1"/>
          <w:sz w:val="24"/>
          <w:szCs w:val="24"/>
        </w:rPr>
        <w:fldChar w:fldCharType="begin"/>
      </w:r>
      <w:r w:rsidR="009A1175">
        <w:rPr>
          <w:color w:val="000000"/>
          <w:sz w:val="24"/>
        </w:rPr>
        <w:instrText xml:space="preserve"> REF bm290 \h </w:instrText>
      </w:r>
      <w:r w:rsidR="009A1175">
        <w:rPr>
          <w:bCs/>
          <w:color w:val="000000" w:themeColor="text1"/>
          <w:sz w:val="24"/>
          <w:szCs w:val="24"/>
        </w:rPr>
      </w:r>
      <w:r w:rsidR="009A1175">
        <w:rPr>
          <w:bCs/>
          <w:color w:val="000000" w:themeColor="text1"/>
          <w:sz w:val="24"/>
          <w:szCs w:val="24"/>
        </w:rPr>
        <w:fldChar w:fldCharType="separate"/>
      </w:r>
      <w:r w:rsidR="00BF6712">
        <w:rPr>
          <w:sz w:val="24"/>
        </w:rPr>
        <w:t xml:space="preserve">Table </w:t>
      </w:r>
      <w:r w:rsidR="00BF6712">
        <w:rPr>
          <w:noProof/>
          <w:sz w:val="24"/>
          <w:szCs w:val="24"/>
        </w:rPr>
        <w:t>5</w:t>
      </w:r>
      <w:r w:rsidR="009A1175">
        <w:rPr>
          <w:bCs/>
          <w:color w:val="000000" w:themeColor="text1"/>
          <w:sz w:val="24"/>
          <w:szCs w:val="24"/>
        </w:rPr>
        <w:fldChar w:fldCharType="end"/>
      </w:r>
      <w:r>
        <w:rPr>
          <w:color w:val="000000"/>
          <w:sz w:val="24"/>
        </w:rPr>
        <w:t xml:space="preserve"> presents the average dose ratios for both the internal and external exposure pathways across radionuclides in the recycling scenarios.</w:t>
      </w:r>
      <w:r w:rsidR="00402749">
        <w:rPr>
          <w:rFonts w:hint="eastAsia"/>
          <w:color w:val="000000"/>
          <w:sz w:val="24"/>
          <w:lang w:eastAsia="ko-KR"/>
        </w:rPr>
        <w:t xml:space="preserve"> </w:t>
      </w:r>
      <w:r>
        <w:rPr>
          <w:color w:val="000000"/>
          <w:sz w:val="24"/>
        </w:rPr>
        <w:t xml:space="preserve">As presented in </w:t>
      </w:r>
      <w:r w:rsidR="00EE0034">
        <w:rPr>
          <w:bCs/>
          <w:color w:val="000000" w:themeColor="text1"/>
          <w:sz w:val="24"/>
          <w:szCs w:val="24"/>
        </w:rPr>
        <w:fldChar w:fldCharType="begin"/>
      </w:r>
      <w:r w:rsidR="00EE0034">
        <w:rPr>
          <w:color w:val="000000"/>
          <w:sz w:val="24"/>
        </w:rPr>
        <w:instrText xml:space="preserve"> REF bm290 \h </w:instrText>
      </w:r>
      <w:r w:rsidR="00EE0034">
        <w:rPr>
          <w:bCs/>
          <w:color w:val="000000" w:themeColor="text1"/>
          <w:sz w:val="24"/>
          <w:szCs w:val="24"/>
        </w:rPr>
      </w:r>
      <w:r w:rsidR="00EE0034">
        <w:rPr>
          <w:bCs/>
          <w:color w:val="000000" w:themeColor="text1"/>
          <w:sz w:val="24"/>
          <w:szCs w:val="24"/>
        </w:rPr>
        <w:fldChar w:fldCharType="separate"/>
      </w:r>
      <w:r w:rsidR="00BF6712">
        <w:rPr>
          <w:sz w:val="24"/>
        </w:rPr>
        <w:t xml:space="preserve">Table </w:t>
      </w:r>
      <w:r w:rsidR="00BF6712">
        <w:rPr>
          <w:noProof/>
          <w:sz w:val="24"/>
          <w:szCs w:val="24"/>
        </w:rPr>
        <w:t>5</w:t>
      </w:r>
      <w:r w:rsidR="00EE0034">
        <w:rPr>
          <w:bCs/>
          <w:color w:val="000000" w:themeColor="text1"/>
          <w:sz w:val="24"/>
          <w:szCs w:val="24"/>
        </w:rPr>
        <w:fldChar w:fldCharType="end"/>
      </w:r>
      <w:r>
        <w:rPr>
          <w:color w:val="000000"/>
          <w:sz w:val="24"/>
        </w:rPr>
        <w:t xml:space="preserve">, the internal dose results for RUCAS matched those of RESRAD-RECYCLE. For external exposure doses, both the RESRAD-RECYCLE and MS results were </w:t>
      </w:r>
      <w:proofErr w:type="gramStart"/>
      <w:r>
        <w:rPr>
          <w:color w:val="000000"/>
          <w:sz w:val="24"/>
        </w:rPr>
        <w:t>similar to</w:t>
      </w:r>
      <w:proofErr w:type="gramEnd"/>
      <w:r>
        <w:rPr>
          <w:color w:val="000000"/>
          <w:sz w:val="24"/>
        </w:rPr>
        <w:t xml:space="preserve"> those of RUCAS, with MS results exhibiting slightly greater similarity. The scenarios were categorized based on shielding to facilitate a more detailed analysis from multiple perspectives. The non-shielding scenarios comprised three elements: scrap loader, scrap cutter, and ingot truck driver, whereas the shielding scenarios included scrap truck driver, ingot caster, and slag worker.</w:t>
      </w:r>
    </w:p>
    <w:p w14:paraId="3B45216A" w14:textId="64AEF93A" w:rsidR="00A43D6E" w:rsidRDefault="000D07EC">
      <w:pPr>
        <w:spacing w:after="200" w:line="480" w:lineRule="auto"/>
        <w:ind w:firstLine="480"/>
        <w:jc w:val="left"/>
        <w:rPr>
          <w:color w:val="000000"/>
          <w:sz w:val="24"/>
        </w:rPr>
      </w:pPr>
      <w:r>
        <w:rPr>
          <w:bCs/>
          <w:color w:val="FF0000"/>
          <w:sz w:val="24"/>
          <w:szCs w:val="24"/>
        </w:rPr>
        <w:fldChar w:fldCharType="begin"/>
      </w:r>
      <w:r>
        <w:rPr>
          <w:color w:val="FF0000"/>
          <w:sz w:val="24"/>
        </w:rPr>
        <w:instrText xml:space="preserve"> REF _Ref171324324 \h </w:instrText>
      </w:r>
      <w:r>
        <w:rPr>
          <w:bCs/>
          <w:color w:val="FF0000"/>
          <w:sz w:val="24"/>
          <w:szCs w:val="24"/>
        </w:rPr>
      </w:r>
      <w:r>
        <w:rPr>
          <w:bCs/>
          <w:color w:val="FF0000"/>
          <w:sz w:val="24"/>
          <w:szCs w:val="24"/>
        </w:rPr>
        <w:fldChar w:fldCharType="separate"/>
      </w:r>
      <w:r w:rsidR="00BF6712" w:rsidRPr="001967BE">
        <w:rPr>
          <w:sz w:val="24"/>
          <w:szCs w:val="24"/>
        </w:rPr>
        <w:t xml:space="preserve">Fig. </w:t>
      </w:r>
      <w:r w:rsidR="00BF6712">
        <w:rPr>
          <w:noProof/>
          <w:sz w:val="24"/>
          <w:szCs w:val="24"/>
        </w:rPr>
        <w:t>5</w:t>
      </w:r>
      <w:r>
        <w:rPr>
          <w:bCs/>
          <w:color w:val="FF0000"/>
          <w:sz w:val="24"/>
          <w:szCs w:val="24"/>
        </w:rPr>
        <w:fldChar w:fldCharType="end"/>
      </w:r>
      <w:r w:rsidR="00F33CE8">
        <w:rPr>
          <w:color w:val="FF0000"/>
          <w:sz w:val="24"/>
        </w:rPr>
        <w:t xml:space="preserve"> </w:t>
      </w:r>
      <w:r w:rsidR="00F33CE8">
        <w:rPr>
          <w:color w:val="000000"/>
          <w:sz w:val="24"/>
        </w:rPr>
        <w:t xml:space="preserve">illustrates the comparison of the external exposure dose ratios for different radionuclides between the shielding and non-shielding scenarios. In the three non-shielding scenarios, the results were quantified using the average comparison ratios. The average </w:t>
      </w:r>
      <w:r w:rsidR="00F33CE8">
        <w:rPr>
          <w:color w:val="000000"/>
          <w:sz w:val="24"/>
        </w:rPr>
        <w:lastRenderedPageBreak/>
        <w:t xml:space="preserve">comparison ratios between RUCAS and MS exhibited a consistent trend across all three scenarios. The ratios of RESRAD-RECYCLE varied between 0.96 and 1.18, indicating some differences, whereas those of MS were close to 1.00. Both comparisons demonstrate considerably low standard deviations for all radionuclides. </w:t>
      </w:r>
    </w:p>
    <w:p w14:paraId="3B45216C" w14:textId="77777777" w:rsidR="00A43D6E" w:rsidRDefault="000D07EC" w:rsidP="00D51345">
      <w:pPr>
        <w:spacing w:after="200" w:line="480" w:lineRule="auto"/>
        <w:ind w:firstLine="480"/>
        <w:jc w:val="left"/>
        <w:rPr>
          <w:color w:val="000000"/>
          <w:sz w:val="24"/>
        </w:rPr>
      </w:pPr>
      <w:r>
        <w:rPr>
          <w:color w:val="000000"/>
          <w:sz w:val="24"/>
        </w:rPr>
        <w:t xml:space="preserve">In the shielding scenarios, the results of RUCAS were </w:t>
      </w:r>
      <w:proofErr w:type="gramStart"/>
      <w:r>
        <w:rPr>
          <w:color w:val="000000"/>
          <w:sz w:val="24"/>
        </w:rPr>
        <w:t>similar to</w:t>
      </w:r>
      <w:proofErr w:type="gramEnd"/>
      <w:r>
        <w:rPr>
          <w:color w:val="000000"/>
          <w:sz w:val="24"/>
        </w:rPr>
        <w:t xml:space="preserve"> those of MS, which is consistent with the findings for the non-shielding scenarios. However, when compared with the results of RESRAD-RECYCLE, RUCAS displayed significant differences for radionuclides, such as Co-60 and Sb-125, in the ingot caster scenario, which utilized the thickest shielding of 8 cm, showing a ratio of 3.11. Notably, radionuclides such as Cs-134, Cs-137, and Eu-154 were not considered in this scenario because they were not converted into ingots during the recycling process, according to the radionuclide partitioning factors</w:t>
      </w:r>
      <w:r w:rsidR="009258B3">
        <w:rPr>
          <w:rFonts w:hint="eastAsia"/>
          <w:color w:val="000000"/>
          <w:sz w:val="24"/>
          <w:lang w:eastAsia="ko-KR"/>
        </w:rPr>
        <w:t xml:space="preserve"> </w:t>
      </w:r>
      <w:r w:rsidR="00765311">
        <w:rPr>
          <w:sz w:val="24"/>
        </w:rPr>
        <w:t>[34</w:t>
      </w:r>
      <w:r w:rsidR="00232F3E">
        <w:rPr>
          <w:sz w:val="24"/>
        </w:rPr>
        <w:t>]</w:t>
      </w:r>
      <w:r>
        <w:rPr>
          <w:color w:val="000000"/>
          <w:sz w:val="24"/>
        </w:rPr>
        <w:t xml:space="preserve">. Furthermore, scenarios involving thinner shields showed dose ratios </w:t>
      </w:r>
      <w:proofErr w:type="gramStart"/>
      <w:r>
        <w:rPr>
          <w:color w:val="000000"/>
          <w:sz w:val="24"/>
        </w:rPr>
        <w:t>similar to</w:t>
      </w:r>
      <w:proofErr w:type="gramEnd"/>
      <w:r>
        <w:rPr>
          <w:color w:val="000000"/>
          <w:sz w:val="24"/>
        </w:rPr>
        <w:t xml:space="preserve"> those in the non-shielding scenarios; however, as the shielding thickness increased, a decreasing trend in external dose ratios across the radionuclides was observed.</w:t>
      </w:r>
    </w:p>
    <w:p w14:paraId="3B45216D" w14:textId="77777777" w:rsidR="00A43D6E" w:rsidRPr="00D51345" w:rsidRDefault="000D07EC">
      <w:pPr>
        <w:spacing w:after="200" w:line="480" w:lineRule="auto"/>
        <w:jc w:val="left"/>
        <w:rPr>
          <w:b/>
          <w:i/>
          <w:sz w:val="24"/>
        </w:rPr>
      </w:pPr>
      <w:r w:rsidRPr="00D51345">
        <w:rPr>
          <w:b/>
          <w:i/>
          <w:sz w:val="24"/>
        </w:rPr>
        <w:t>4.2 Benchmarking Results for Shielding Scenarios</w:t>
      </w:r>
    </w:p>
    <w:p w14:paraId="3B45216F" w14:textId="08AE3CF6" w:rsidR="00A43D6E" w:rsidRPr="00402749" w:rsidRDefault="000D07EC" w:rsidP="00402749">
      <w:pPr>
        <w:spacing w:after="200" w:line="480" w:lineRule="auto"/>
        <w:ind w:firstLine="480"/>
        <w:jc w:val="left"/>
        <w:rPr>
          <w:sz w:val="24"/>
        </w:rPr>
      </w:pPr>
      <w:r>
        <w:rPr>
          <w:color w:val="000000"/>
          <w:sz w:val="24"/>
        </w:rPr>
        <w:t xml:space="preserve">The analysis was separated according to the radionuclide group, specifically alpha (Ac-227, Am-241, Pu-239, and U-238) and gamma (Co-60, Cs-137, and Zn-65) emitters. </w:t>
      </w:r>
      <w:r w:rsidR="00EE0034">
        <w:rPr>
          <w:bCs/>
          <w:color w:val="000000" w:themeColor="text1"/>
          <w:sz w:val="24"/>
          <w:szCs w:val="24"/>
        </w:rPr>
        <w:fldChar w:fldCharType="begin"/>
      </w:r>
      <w:r w:rsidR="00EE0034">
        <w:rPr>
          <w:color w:val="000000"/>
          <w:sz w:val="24"/>
        </w:rPr>
        <w:instrText xml:space="preserve"> REF bm301 \h </w:instrText>
      </w:r>
      <w:r w:rsidR="00EE0034">
        <w:rPr>
          <w:bCs/>
          <w:color w:val="000000" w:themeColor="text1"/>
          <w:sz w:val="24"/>
          <w:szCs w:val="24"/>
        </w:rPr>
      </w:r>
      <w:r w:rsidR="00EE0034">
        <w:rPr>
          <w:bCs/>
          <w:color w:val="000000" w:themeColor="text1"/>
          <w:sz w:val="24"/>
          <w:szCs w:val="24"/>
        </w:rPr>
        <w:fldChar w:fldCharType="separate"/>
      </w:r>
      <w:r w:rsidR="00BF6712">
        <w:rPr>
          <w:sz w:val="24"/>
        </w:rPr>
        <w:t xml:space="preserve">Table </w:t>
      </w:r>
      <w:r w:rsidR="00BF6712">
        <w:rPr>
          <w:noProof/>
          <w:sz w:val="24"/>
          <w:szCs w:val="24"/>
        </w:rPr>
        <w:t>6</w:t>
      </w:r>
      <w:r w:rsidR="00EE0034">
        <w:rPr>
          <w:bCs/>
          <w:color w:val="000000" w:themeColor="text1"/>
          <w:sz w:val="24"/>
          <w:szCs w:val="24"/>
        </w:rPr>
        <w:fldChar w:fldCharType="end"/>
      </w:r>
      <w:r>
        <w:rPr>
          <w:color w:val="000000"/>
          <w:sz w:val="24"/>
        </w:rPr>
        <w:t xml:space="preserve"> and </w:t>
      </w:r>
      <w:r w:rsidR="00EE0034">
        <w:rPr>
          <w:bCs/>
          <w:color w:val="000000" w:themeColor="text1"/>
          <w:sz w:val="24"/>
          <w:szCs w:val="24"/>
        </w:rPr>
        <w:fldChar w:fldCharType="begin"/>
      </w:r>
      <w:r w:rsidR="00EE0034">
        <w:rPr>
          <w:color w:val="000000"/>
          <w:sz w:val="24"/>
        </w:rPr>
        <w:instrText xml:space="preserve"> REF bm309 \h </w:instrText>
      </w:r>
      <w:r w:rsidR="00EE0034">
        <w:rPr>
          <w:bCs/>
          <w:color w:val="000000" w:themeColor="text1"/>
          <w:sz w:val="24"/>
          <w:szCs w:val="24"/>
        </w:rPr>
      </w:r>
      <w:r w:rsidR="00EE0034">
        <w:rPr>
          <w:bCs/>
          <w:color w:val="000000" w:themeColor="text1"/>
          <w:sz w:val="24"/>
          <w:szCs w:val="24"/>
        </w:rPr>
        <w:fldChar w:fldCharType="separate"/>
      </w:r>
      <w:r w:rsidR="00BF6712">
        <w:rPr>
          <w:sz w:val="24"/>
        </w:rPr>
        <w:t xml:space="preserve">Table </w:t>
      </w:r>
      <w:r w:rsidR="00BF6712">
        <w:rPr>
          <w:noProof/>
          <w:sz w:val="24"/>
          <w:szCs w:val="24"/>
        </w:rPr>
        <w:t>7</w:t>
      </w:r>
      <w:r w:rsidR="00EE0034">
        <w:rPr>
          <w:bCs/>
          <w:color w:val="000000" w:themeColor="text1"/>
          <w:sz w:val="24"/>
          <w:szCs w:val="24"/>
        </w:rPr>
        <w:fldChar w:fldCharType="end"/>
      </w:r>
      <w:r>
        <w:rPr>
          <w:color w:val="000000"/>
          <w:sz w:val="24"/>
        </w:rPr>
        <w:t xml:space="preserve"> present the average dose ratios for both the alpha and gamma radionuclide groups across the four scenarios.</w:t>
      </w:r>
      <w:r w:rsidR="00402749">
        <w:rPr>
          <w:rFonts w:hint="eastAsia"/>
          <w:color w:val="000000"/>
          <w:sz w:val="24"/>
          <w:lang w:eastAsia="ko-KR"/>
        </w:rPr>
        <w:t xml:space="preserve"> </w:t>
      </w:r>
      <w:r>
        <w:rPr>
          <w:color w:val="000000"/>
          <w:sz w:val="24"/>
        </w:rPr>
        <w:t xml:space="preserve">For internal exposure doses, the comparison between RUCAS and RESRAD-RECYCLE showed matching dose ratios of 1.00 for both the alpha and gamma groups, indicating precise agreement between their calculation results, as in the previous benchmarking results. For external dose ratios, the alpha radionuclides exhibited dose ratios ranging from 1.07 </w:t>
      </w:r>
      <w:r>
        <w:rPr>
          <w:color w:val="000000"/>
          <w:sz w:val="24"/>
        </w:rPr>
        <w:lastRenderedPageBreak/>
        <w:t>to 1.14 between RUCAS and MS, whereas the comparison between RUCAS and RESRAD-RECYCLE displayed much broader dose ratios ranging from 2.88E+08 to 1.56E+08. For the gamma radionuclides, the RUCAS results, when compared with the MS results, showed dose ratios ranging from 1.06 to 1.11, whereas a range of 5.80–6.36 was observed when compared with the RESRAD-RECYCLE results. Given that the internal exposure doses are predominant for alpha radionuclides, this analysis focused on gamma radionuclides to provide a detailed assessment of their external dose ratios.</w:t>
      </w:r>
    </w:p>
    <w:p w14:paraId="3B452170" w14:textId="7DE87C9A" w:rsidR="00A43D6E" w:rsidRDefault="000D07EC">
      <w:pPr>
        <w:spacing w:after="200" w:line="480" w:lineRule="auto"/>
        <w:ind w:firstLine="480"/>
        <w:jc w:val="left"/>
        <w:rPr>
          <w:color w:val="000000"/>
          <w:sz w:val="24"/>
        </w:rPr>
      </w:pPr>
      <w:r>
        <w:rPr>
          <w:bCs/>
          <w:color w:val="FF0000"/>
          <w:sz w:val="24"/>
          <w:szCs w:val="24"/>
        </w:rPr>
        <w:fldChar w:fldCharType="begin"/>
      </w:r>
      <w:r>
        <w:rPr>
          <w:color w:val="FF0000"/>
          <w:sz w:val="24"/>
        </w:rPr>
        <w:instrText xml:space="preserve"> REF _Ref171324343 \h </w:instrText>
      </w:r>
      <w:r>
        <w:rPr>
          <w:bCs/>
          <w:color w:val="FF0000"/>
          <w:sz w:val="24"/>
          <w:szCs w:val="24"/>
        </w:rPr>
      </w:r>
      <w:r>
        <w:rPr>
          <w:bCs/>
          <w:color w:val="FF0000"/>
          <w:sz w:val="24"/>
          <w:szCs w:val="24"/>
        </w:rPr>
        <w:fldChar w:fldCharType="separate"/>
      </w:r>
      <w:r w:rsidR="00BF6712" w:rsidRPr="001967BE">
        <w:rPr>
          <w:sz w:val="24"/>
          <w:szCs w:val="24"/>
        </w:rPr>
        <w:t xml:space="preserve">Fig. </w:t>
      </w:r>
      <w:r w:rsidR="00BF6712">
        <w:rPr>
          <w:noProof/>
          <w:sz w:val="24"/>
          <w:szCs w:val="24"/>
        </w:rPr>
        <w:t>6</w:t>
      </w:r>
      <w:r>
        <w:rPr>
          <w:bCs/>
          <w:color w:val="FF0000"/>
          <w:sz w:val="24"/>
          <w:szCs w:val="24"/>
        </w:rPr>
        <w:fldChar w:fldCharType="end"/>
      </w:r>
      <w:r w:rsidR="00F33CE8">
        <w:rPr>
          <w:color w:val="FF0000"/>
          <w:sz w:val="24"/>
        </w:rPr>
        <w:t xml:space="preserve"> </w:t>
      </w:r>
      <w:r w:rsidR="00F33CE8">
        <w:rPr>
          <w:color w:val="000000"/>
          <w:sz w:val="24"/>
        </w:rPr>
        <w:t xml:space="preserve">shows the characteristics and corresponding external dose ratios of the shielding scenarios—scrap yard worker (SW), smelter loader (SL), furnace operator (FO), and refinery worker (RW). Unlike earlier comparisons, discrepancies were observed between RUCAS and MS, notably with the Cs-137 radionuclide in FO, showing a ratio of 1.2. The difference between RUCAS and RESRAD-RECYCLE was more pronounced under the concrete-shielding condition. </w:t>
      </w:r>
    </w:p>
    <w:p w14:paraId="3B452172" w14:textId="5466A6C2" w:rsidR="00A43D6E" w:rsidRDefault="000D07EC" w:rsidP="004754F8">
      <w:pPr>
        <w:spacing w:after="200" w:line="480" w:lineRule="auto"/>
        <w:ind w:firstLine="480"/>
        <w:jc w:val="left"/>
        <w:rPr>
          <w:color w:val="000000"/>
          <w:sz w:val="24"/>
        </w:rPr>
      </w:pPr>
      <w:r>
        <w:rPr>
          <w:color w:val="000000"/>
          <w:sz w:val="24"/>
        </w:rPr>
        <w:t xml:space="preserve">RESRAD-RECYCLE and MS showed similar trends across scenarios. As depicted in </w:t>
      </w:r>
      <w:r w:rsidR="000F3F1E">
        <w:rPr>
          <w:bCs/>
          <w:color w:val="000000" w:themeColor="text1"/>
          <w:sz w:val="24"/>
          <w:szCs w:val="24"/>
        </w:rPr>
        <w:fldChar w:fldCharType="begin"/>
      </w:r>
      <w:r w:rsidR="000F3F1E">
        <w:rPr>
          <w:color w:val="000000"/>
          <w:sz w:val="24"/>
        </w:rPr>
        <w:instrText xml:space="preserve"> REF _Ref171324343 \h </w:instrText>
      </w:r>
      <w:r w:rsidR="000F3F1E">
        <w:rPr>
          <w:bCs/>
          <w:color w:val="000000" w:themeColor="text1"/>
          <w:sz w:val="24"/>
          <w:szCs w:val="24"/>
        </w:rPr>
      </w:r>
      <w:r w:rsidR="000F3F1E">
        <w:rPr>
          <w:bCs/>
          <w:color w:val="000000" w:themeColor="text1"/>
          <w:sz w:val="24"/>
          <w:szCs w:val="24"/>
        </w:rPr>
        <w:fldChar w:fldCharType="separate"/>
      </w:r>
      <w:r w:rsidR="00BF6712" w:rsidRPr="001967BE">
        <w:rPr>
          <w:sz w:val="24"/>
          <w:szCs w:val="24"/>
        </w:rPr>
        <w:t xml:space="preserve">Fig. </w:t>
      </w:r>
      <w:r w:rsidR="00BF6712">
        <w:rPr>
          <w:noProof/>
          <w:sz w:val="24"/>
          <w:szCs w:val="24"/>
        </w:rPr>
        <w:t>6</w:t>
      </w:r>
      <w:r w:rsidR="000F3F1E">
        <w:rPr>
          <w:bCs/>
          <w:color w:val="000000" w:themeColor="text1"/>
          <w:sz w:val="24"/>
          <w:szCs w:val="24"/>
        </w:rPr>
        <w:fldChar w:fldCharType="end"/>
      </w:r>
      <w:r>
        <w:rPr>
          <w:sz w:val="24"/>
        </w:rPr>
        <w:t xml:space="preserve">, </w:t>
      </w:r>
      <w:r>
        <w:rPr>
          <w:color w:val="000000"/>
          <w:sz w:val="24"/>
        </w:rPr>
        <w:t>the FO and RW scenarios produced nearly identical ratios under identical source density and exposure distance conditions, as represented by a straight line in the graph. However, variations in the source density and exposure distance led to different dose ratios, indicating a tendency for these ratios to change proportionally with the source density and exposure distance, with the former having a more significant effect than the latter. Furthermore, the extent of these changes varied based on radionuclide, with Cs-137 exhibiting the most significant variation, followed by Zn-65 and Co-60, which showed smaller changes.</w:t>
      </w:r>
    </w:p>
    <w:p w14:paraId="3B452173" w14:textId="77777777" w:rsidR="00A43D6E" w:rsidRPr="00D51345" w:rsidRDefault="000D07EC">
      <w:pPr>
        <w:spacing w:after="200" w:line="480" w:lineRule="auto"/>
        <w:jc w:val="left"/>
        <w:rPr>
          <w:b/>
          <w:i/>
          <w:sz w:val="24"/>
        </w:rPr>
      </w:pPr>
      <w:r w:rsidRPr="00D51345">
        <w:rPr>
          <w:b/>
          <w:i/>
          <w:sz w:val="24"/>
        </w:rPr>
        <w:t>4.3 Benchmarking Results of Source Geometries</w:t>
      </w:r>
    </w:p>
    <w:p w14:paraId="3B452174" w14:textId="5F78C287" w:rsidR="00A43D6E" w:rsidRDefault="000D07EC">
      <w:pPr>
        <w:spacing w:after="200" w:line="480" w:lineRule="auto"/>
        <w:ind w:firstLine="480"/>
        <w:jc w:val="left"/>
        <w:rPr>
          <w:color w:val="000000"/>
          <w:sz w:val="24"/>
        </w:rPr>
      </w:pPr>
      <w:r>
        <w:rPr>
          <w:color w:val="000000"/>
          <w:sz w:val="24"/>
        </w:rPr>
        <w:lastRenderedPageBreak/>
        <w:t xml:space="preserve">For the five source geometries featuring an iron source and concrete shielding, the external doses from different radionuclides varied significantly based on the calculation conditions. Consequently, the results are presented as ratios between the outcomes obtained from RUCAS and those from MS. </w:t>
      </w:r>
      <w:r w:rsidR="00105A69">
        <w:rPr>
          <w:bCs/>
          <w:color w:val="000000" w:themeColor="text1"/>
          <w:sz w:val="24"/>
          <w:szCs w:val="24"/>
        </w:rPr>
        <w:fldChar w:fldCharType="begin"/>
      </w:r>
      <w:r w:rsidR="00105A69">
        <w:rPr>
          <w:color w:val="000000"/>
          <w:sz w:val="24"/>
        </w:rPr>
        <w:instrText xml:space="preserve"> REF bm310 \h </w:instrText>
      </w:r>
      <w:r w:rsidR="00105A69">
        <w:rPr>
          <w:bCs/>
          <w:color w:val="000000" w:themeColor="text1"/>
          <w:sz w:val="24"/>
          <w:szCs w:val="24"/>
        </w:rPr>
      </w:r>
      <w:r w:rsidR="00105A69">
        <w:rPr>
          <w:bCs/>
          <w:color w:val="000000" w:themeColor="text1"/>
          <w:sz w:val="24"/>
          <w:szCs w:val="24"/>
        </w:rPr>
        <w:fldChar w:fldCharType="separate"/>
      </w:r>
      <w:r w:rsidR="00BF6712">
        <w:rPr>
          <w:sz w:val="24"/>
        </w:rPr>
        <w:t xml:space="preserve">Table </w:t>
      </w:r>
      <w:r w:rsidR="00BF6712">
        <w:rPr>
          <w:noProof/>
          <w:sz w:val="24"/>
          <w:szCs w:val="24"/>
        </w:rPr>
        <w:t>8</w:t>
      </w:r>
      <w:r w:rsidR="00105A69">
        <w:rPr>
          <w:bCs/>
          <w:color w:val="000000" w:themeColor="text1"/>
          <w:sz w:val="24"/>
          <w:szCs w:val="24"/>
        </w:rPr>
        <w:fldChar w:fldCharType="end"/>
      </w:r>
      <w:r>
        <w:rPr>
          <w:color w:val="000000"/>
          <w:sz w:val="24"/>
        </w:rPr>
        <w:t xml:space="preserve"> displays the average result ratios between RUCAS and MS. For the multilayer shielding in RUCAS, these ratios were calculated by applying two different buildup factor calculation methodologies proposed by Kalos </w:t>
      </w:r>
      <w:r w:rsidR="0075729B">
        <w:rPr>
          <w:color w:val="000000"/>
          <w:sz w:val="24"/>
        </w:rPr>
        <w:t>[32]</w:t>
      </w:r>
      <w:r>
        <w:rPr>
          <w:color w:val="000000"/>
          <w:sz w:val="24"/>
        </w:rPr>
        <w:t xml:space="preserve"> and Lin and Jiang </w:t>
      </w:r>
      <w:r w:rsidR="0075729B">
        <w:rPr>
          <w:color w:val="000000"/>
          <w:sz w:val="24"/>
        </w:rPr>
        <w:t>[33].</w:t>
      </w:r>
    </w:p>
    <w:p w14:paraId="3B452175" w14:textId="77BF1DA4" w:rsidR="00A43D6E" w:rsidRDefault="000D07EC">
      <w:pPr>
        <w:spacing w:after="200" w:line="480" w:lineRule="auto"/>
        <w:ind w:firstLine="480"/>
        <w:jc w:val="left"/>
        <w:rPr>
          <w:color w:val="000000"/>
          <w:sz w:val="24"/>
        </w:rPr>
      </w:pPr>
      <w:r>
        <w:rPr>
          <w:color w:val="000000"/>
          <w:sz w:val="24"/>
        </w:rPr>
        <w:t xml:space="preserve">The external dose assessments for gamma radionuclides for the five different geometries showed that when the methodology of Kalos (1956) was applied to RUCAS, the result ratios ranged from 1.02 to 1.04, closely matching those of MS. When using the Lin and Jiang </w:t>
      </w:r>
      <w:r w:rsidR="0075729B">
        <w:rPr>
          <w:color w:val="000000"/>
          <w:sz w:val="24"/>
        </w:rPr>
        <w:t>[33]</w:t>
      </w:r>
      <w:r>
        <w:rPr>
          <w:color w:val="000000"/>
          <w:sz w:val="24"/>
        </w:rPr>
        <w:t xml:space="preserve"> (LJ) methodology, the result ratios ranged from 1.04 to 1.14, which were </w:t>
      </w:r>
      <w:proofErr w:type="gramStart"/>
      <w:r>
        <w:rPr>
          <w:color w:val="000000"/>
          <w:sz w:val="24"/>
        </w:rPr>
        <w:t>similar to</w:t>
      </w:r>
      <w:proofErr w:type="gramEnd"/>
      <w:r>
        <w:rPr>
          <w:color w:val="000000"/>
          <w:sz w:val="24"/>
        </w:rPr>
        <w:t xml:space="preserve"> those of MS but showed higher doses than those obtained with Kalos. However, for the disk and plane geometries that considered only the attenuation effects of the shielding medium, the result ratios consistently remained at 1.04, regardless of the methodology used.</w:t>
      </w:r>
    </w:p>
    <w:p w14:paraId="4AF2A4F1" w14:textId="10EE41E7" w:rsidR="00944EA8" w:rsidRDefault="000D07EC" w:rsidP="004754F8">
      <w:pPr>
        <w:spacing w:after="200" w:line="480" w:lineRule="auto"/>
        <w:ind w:firstLine="480"/>
        <w:jc w:val="left"/>
        <w:rPr>
          <w:color w:val="000000"/>
          <w:sz w:val="24"/>
        </w:rPr>
      </w:pPr>
      <w:r>
        <w:rPr>
          <w:bCs/>
          <w:color w:val="FF0000"/>
          <w:sz w:val="24"/>
          <w:szCs w:val="24"/>
        </w:rPr>
        <w:fldChar w:fldCharType="begin"/>
      </w:r>
      <w:r>
        <w:rPr>
          <w:color w:val="FF0000"/>
          <w:sz w:val="24"/>
        </w:rPr>
        <w:instrText xml:space="preserve"> REF _Ref171324375 \h </w:instrText>
      </w:r>
      <w:r>
        <w:rPr>
          <w:bCs/>
          <w:color w:val="FF0000"/>
          <w:sz w:val="24"/>
          <w:szCs w:val="24"/>
        </w:rPr>
      </w:r>
      <w:r>
        <w:rPr>
          <w:bCs/>
          <w:color w:val="FF0000"/>
          <w:sz w:val="24"/>
          <w:szCs w:val="24"/>
        </w:rPr>
        <w:fldChar w:fldCharType="separate"/>
      </w:r>
      <w:r w:rsidR="00BF6712" w:rsidRPr="001967BE">
        <w:rPr>
          <w:sz w:val="24"/>
          <w:szCs w:val="24"/>
        </w:rPr>
        <w:t xml:space="preserve">Fig. </w:t>
      </w:r>
      <w:r w:rsidR="00BF6712">
        <w:rPr>
          <w:noProof/>
          <w:sz w:val="24"/>
          <w:szCs w:val="24"/>
        </w:rPr>
        <w:t>7</w:t>
      </w:r>
      <w:r>
        <w:rPr>
          <w:bCs/>
          <w:color w:val="FF0000"/>
          <w:sz w:val="24"/>
          <w:szCs w:val="24"/>
        </w:rPr>
        <w:fldChar w:fldCharType="end"/>
      </w:r>
      <w:r w:rsidR="00F33CE8">
        <w:rPr>
          <w:color w:val="FF0000"/>
          <w:sz w:val="24"/>
        </w:rPr>
        <w:t xml:space="preserve"> </w:t>
      </w:r>
      <w:r w:rsidR="00F33CE8">
        <w:rPr>
          <w:color w:val="000000"/>
          <w:sz w:val="24"/>
        </w:rPr>
        <w:t xml:space="preserve">presents the average result ratios across three volumetric geometries: cylinder, rectangular volume, and sphere, considering both the source and shielding attenuation effects. As shown in </w:t>
      </w:r>
      <w:r>
        <w:rPr>
          <w:bCs/>
          <w:color w:val="000000" w:themeColor="text1"/>
          <w:sz w:val="24"/>
          <w:szCs w:val="24"/>
        </w:rPr>
        <w:fldChar w:fldCharType="begin"/>
      </w:r>
      <w:r>
        <w:rPr>
          <w:color w:val="000000"/>
          <w:sz w:val="24"/>
        </w:rPr>
        <w:instrText xml:space="preserve"> REF _Ref171324375 \h </w:instrText>
      </w:r>
      <w:r>
        <w:rPr>
          <w:bCs/>
          <w:color w:val="000000" w:themeColor="text1"/>
          <w:sz w:val="24"/>
          <w:szCs w:val="24"/>
        </w:rPr>
      </w:r>
      <w:r>
        <w:rPr>
          <w:bCs/>
          <w:color w:val="000000" w:themeColor="text1"/>
          <w:sz w:val="24"/>
          <w:szCs w:val="24"/>
        </w:rPr>
        <w:fldChar w:fldCharType="separate"/>
      </w:r>
      <w:r w:rsidR="00BF6712" w:rsidRPr="001967BE">
        <w:rPr>
          <w:sz w:val="24"/>
          <w:szCs w:val="24"/>
        </w:rPr>
        <w:t xml:space="preserve">Fig. </w:t>
      </w:r>
      <w:r w:rsidR="00BF6712">
        <w:rPr>
          <w:noProof/>
          <w:sz w:val="24"/>
          <w:szCs w:val="24"/>
        </w:rPr>
        <w:t>7</w:t>
      </w:r>
      <w:r>
        <w:rPr>
          <w:bCs/>
          <w:color w:val="000000" w:themeColor="text1"/>
          <w:sz w:val="24"/>
          <w:szCs w:val="24"/>
        </w:rPr>
        <w:fldChar w:fldCharType="end"/>
      </w:r>
      <w:r w:rsidR="00F33CE8">
        <w:rPr>
          <w:color w:val="000000"/>
          <w:sz w:val="24"/>
        </w:rPr>
        <w:t>, the standard deviation in the average result for each radionuclide was diminutive. Moreover, while the methodologies of Kalos and LJ varied in the extent of their differences compared to the MS method, they consistently exhibited the same error direction across all radionuclides. For example, the Kalos and the LJ methods both demonstrated a similar pattern, where the largest discrepancies and an increasing trend in the resulting ratios were observed for the radionuclides Cs-137 and Sb-125.</w:t>
      </w:r>
    </w:p>
    <w:p w14:paraId="3B452177" w14:textId="77777777" w:rsidR="00A43D6E" w:rsidRDefault="000D07EC">
      <w:pPr>
        <w:spacing w:after="200" w:line="480" w:lineRule="auto"/>
        <w:jc w:val="left"/>
        <w:rPr>
          <w:b/>
          <w:sz w:val="24"/>
        </w:rPr>
      </w:pPr>
      <w:r>
        <w:rPr>
          <w:b/>
          <w:sz w:val="24"/>
        </w:rPr>
        <w:t>5. Discussion</w:t>
      </w:r>
    </w:p>
    <w:p w14:paraId="3B452178" w14:textId="2D2BA8C5" w:rsidR="00A43D6E" w:rsidRDefault="000D07EC">
      <w:pPr>
        <w:spacing w:after="200" w:line="480" w:lineRule="auto"/>
        <w:ind w:firstLine="480"/>
        <w:jc w:val="left"/>
        <w:rPr>
          <w:color w:val="000000"/>
          <w:sz w:val="24"/>
        </w:rPr>
      </w:pPr>
      <w:r>
        <w:rPr>
          <w:color w:val="000000"/>
          <w:sz w:val="24"/>
        </w:rPr>
        <w:lastRenderedPageBreak/>
        <w:t xml:space="preserve">Benchmarks for various recycling scenarios were used to verify the RUCAS risk assessment model. The comparison included external dose assessments among the three software programs: RUCAS, RESRAD-RECYCLE, and MS, whereas the internal exposure doses were compared between RUCAS and RESRAD-RECYCLE. The internal doses displayed identical values for both RUCAS and RESRAD-RECYCLE, </w:t>
      </w:r>
      <w:proofErr w:type="gramStart"/>
      <w:r>
        <w:rPr>
          <w:color w:val="000000"/>
          <w:sz w:val="24"/>
        </w:rPr>
        <w:t>similar to</w:t>
      </w:r>
      <w:proofErr w:type="gramEnd"/>
      <w:r>
        <w:rPr>
          <w:color w:val="000000"/>
          <w:sz w:val="24"/>
        </w:rPr>
        <w:t xml:space="preserve"> the methodology proposed by the IAEA</w:t>
      </w:r>
      <w:r>
        <w:rPr>
          <w:sz w:val="24"/>
        </w:rPr>
        <w:t xml:space="preserve"> </w:t>
      </w:r>
      <w:r w:rsidR="00F56C8A">
        <w:rPr>
          <w:sz w:val="24"/>
        </w:rPr>
        <w:t>[</w:t>
      </w:r>
      <w:r w:rsidR="0045180C">
        <w:rPr>
          <w:sz w:val="24"/>
        </w:rPr>
        <w:t>39</w:t>
      </w:r>
      <w:r w:rsidR="0075729B">
        <w:rPr>
          <w:sz w:val="24"/>
        </w:rPr>
        <w:t>]</w:t>
      </w:r>
      <w:r>
        <w:rPr>
          <w:sz w:val="24"/>
        </w:rPr>
        <w:t xml:space="preserve">. </w:t>
      </w:r>
      <w:r>
        <w:rPr>
          <w:color w:val="000000"/>
          <w:sz w:val="24"/>
        </w:rPr>
        <w:t xml:space="preserve">For external radiation doses, the presence or absence of shielding altered the trends of the results. In non-shielding scenarios, the results of RUCAS were nearly identical to those of MS and differed slightly from those of RESRAD-RECYCLE. In shielding scenarios, RUCAS showed results </w:t>
      </w:r>
      <w:proofErr w:type="gramStart"/>
      <w:r>
        <w:rPr>
          <w:color w:val="000000"/>
          <w:sz w:val="24"/>
        </w:rPr>
        <w:t>similar to</w:t>
      </w:r>
      <w:proofErr w:type="gramEnd"/>
      <w:r>
        <w:rPr>
          <w:color w:val="000000"/>
          <w:sz w:val="24"/>
        </w:rPr>
        <w:t xml:space="preserve"> those of MS but significantly different from RESRAD-RECYCLE. This difference was exacerbated when the source and shielding materials differed.</w:t>
      </w:r>
    </w:p>
    <w:p w14:paraId="3B45217A" w14:textId="77777777" w:rsidR="00A43D6E" w:rsidRDefault="000D07EC" w:rsidP="00D51345">
      <w:pPr>
        <w:spacing w:after="200" w:line="480" w:lineRule="auto"/>
        <w:ind w:firstLine="480"/>
        <w:jc w:val="left"/>
        <w:rPr>
          <w:i/>
          <w:color w:val="000000"/>
          <w:sz w:val="24"/>
        </w:rPr>
      </w:pPr>
      <w:r>
        <w:rPr>
          <w:color w:val="000000"/>
          <w:sz w:val="24"/>
        </w:rPr>
        <w:t xml:space="preserve">Based on previous studies and </w:t>
      </w:r>
      <w:proofErr w:type="spellStart"/>
      <w:r>
        <w:rPr>
          <w:sz w:val="24"/>
        </w:rPr>
        <w:t>Eqs</w:t>
      </w:r>
      <w:proofErr w:type="spellEnd"/>
      <w:r>
        <w:rPr>
          <w:sz w:val="24"/>
        </w:rPr>
        <w:t>. (9)</w:t>
      </w:r>
      <w:proofErr w:type="gramStart"/>
      <w:r>
        <w:rPr>
          <w:sz w:val="24"/>
        </w:rPr>
        <w:t>–(</w:t>
      </w:r>
      <w:proofErr w:type="gramEnd"/>
      <w:r>
        <w:rPr>
          <w:sz w:val="24"/>
        </w:rPr>
        <w:t>14)</w:t>
      </w:r>
      <w:r>
        <w:rPr>
          <w:color w:val="000000"/>
          <w:sz w:val="24"/>
        </w:rPr>
        <w:t>, the dose assessment variations across the codes can be attributed to three primary factors. First, the disparity between the external dose assessment models of RUCAS and RESRAD-RECYCLE was identified as a significant source of variance. RUCAS and MS utilized the latest models based on the PK method, which internally calculates the DCF, whereas RESRAD-RECYCLE applied a fitting approach to the external DCFs from Federal Guidance Report No. 12</w:t>
      </w:r>
      <w:r w:rsidR="003703F9">
        <w:rPr>
          <w:color w:val="000000"/>
          <w:sz w:val="24"/>
        </w:rPr>
        <w:t xml:space="preserve"> [17]</w:t>
      </w:r>
      <w:r>
        <w:rPr>
          <w:color w:val="000000"/>
          <w:sz w:val="24"/>
        </w:rPr>
        <w:t>.</w:t>
      </w:r>
      <w:r>
        <w:rPr>
          <w:color w:val="FF0000"/>
          <w:sz w:val="24"/>
        </w:rPr>
        <w:t xml:space="preserve"> </w:t>
      </w:r>
      <w:r>
        <w:rPr>
          <w:color w:val="000000"/>
          <w:sz w:val="24"/>
        </w:rPr>
        <w:t xml:space="preserve">The second reason is assumed to be the differences between the methodologies for calculating the multilayer buildup factors. Various methodologies have been proposed for calculating the buildup factors when the source and shielding materials differ </w:t>
      </w:r>
      <w:r w:rsidR="003703F9">
        <w:rPr>
          <w:color w:val="000000"/>
          <w:sz w:val="24"/>
        </w:rPr>
        <w:t>[32,</w:t>
      </w:r>
      <w:r w:rsidR="00F56C8A">
        <w:rPr>
          <w:color w:val="000000"/>
          <w:sz w:val="24"/>
        </w:rPr>
        <w:t>4</w:t>
      </w:r>
      <w:r w:rsidR="0045180C">
        <w:rPr>
          <w:color w:val="000000"/>
          <w:sz w:val="24"/>
        </w:rPr>
        <w:t>0</w:t>
      </w:r>
      <w:r w:rsidR="00F56C8A">
        <w:rPr>
          <w:color w:val="000000"/>
          <w:sz w:val="24"/>
        </w:rPr>
        <w:t>-4</w:t>
      </w:r>
      <w:r w:rsidR="0045180C">
        <w:rPr>
          <w:color w:val="000000"/>
          <w:sz w:val="24"/>
        </w:rPr>
        <w:t>3</w:t>
      </w:r>
      <w:r w:rsidR="00A241E5">
        <w:rPr>
          <w:color w:val="000000"/>
          <w:sz w:val="24"/>
        </w:rPr>
        <w:t>,31,33]</w:t>
      </w:r>
      <w:r>
        <w:rPr>
          <w:color w:val="000000"/>
          <w:sz w:val="24"/>
        </w:rPr>
        <w:t>, and these methodology variations are understood to cause differences in the external radiation doses</w:t>
      </w:r>
      <w:r>
        <w:rPr>
          <w:sz w:val="24"/>
        </w:rPr>
        <w:t xml:space="preserve"> </w:t>
      </w:r>
      <w:r w:rsidR="00F56C8A">
        <w:rPr>
          <w:sz w:val="24"/>
        </w:rPr>
        <w:t>[4</w:t>
      </w:r>
      <w:r w:rsidR="0045180C">
        <w:rPr>
          <w:sz w:val="24"/>
        </w:rPr>
        <w:t>4</w:t>
      </w:r>
      <w:r w:rsidR="00A241E5">
        <w:rPr>
          <w:sz w:val="24"/>
        </w:rPr>
        <w:t>]</w:t>
      </w:r>
      <w:r>
        <w:rPr>
          <w:sz w:val="24"/>
        </w:rPr>
        <w:t>.</w:t>
      </w:r>
      <w:r>
        <w:rPr>
          <w:color w:val="FF0000"/>
          <w:sz w:val="24"/>
        </w:rPr>
        <w:t xml:space="preserve"> </w:t>
      </w:r>
      <w:r>
        <w:rPr>
          <w:sz w:val="24"/>
        </w:rPr>
        <w:t xml:space="preserve">The absence of information regarding the methodology used by MS has led to this assumption. Finally, differences in the attenuation coefficient are believed to influence the dose results. </w:t>
      </w:r>
      <w:proofErr w:type="spellStart"/>
      <w:r>
        <w:rPr>
          <w:sz w:val="24"/>
        </w:rPr>
        <w:t>Eqs</w:t>
      </w:r>
      <w:proofErr w:type="spellEnd"/>
      <w:r>
        <w:rPr>
          <w:sz w:val="24"/>
        </w:rPr>
        <w:t>. (9)</w:t>
      </w:r>
      <w:proofErr w:type="gramStart"/>
      <w:r>
        <w:rPr>
          <w:sz w:val="24"/>
        </w:rPr>
        <w:t>–(</w:t>
      </w:r>
      <w:proofErr w:type="gramEnd"/>
      <w:r>
        <w:rPr>
          <w:sz w:val="24"/>
        </w:rPr>
        <w:t xml:space="preserve">14) reveal that the attenuation coefficient is pivotal in determining the buildup factor, particularly when the medium is a </w:t>
      </w:r>
      <w:r>
        <w:rPr>
          <w:sz w:val="24"/>
        </w:rPr>
        <w:lastRenderedPageBreak/>
        <w:t xml:space="preserve">mixture, leading to significant variations depending on the composition </w:t>
      </w:r>
      <w:r w:rsidR="00F56C8A">
        <w:rPr>
          <w:sz w:val="24"/>
        </w:rPr>
        <w:t>[4</w:t>
      </w:r>
      <w:r w:rsidR="0045180C">
        <w:rPr>
          <w:sz w:val="24"/>
        </w:rPr>
        <w:t>5</w:t>
      </w:r>
      <w:r w:rsidR="00F56C8A">
        <w:rPr>
          <w:sz w:val="24"/>
        </w:rPr>
        <w:t>-4</w:t>
      </w:r>
      <w:r w:rsidR="0045180C">
        <w:rPr>
          <w:sz w:val="24"/>
        </w:rPr>
        <w:t>7</w:t>
      </w:r>
      <w:r w:rsidR="00A241E5">
        <w:rPr>
          <w:sz w:val="24"/>
        </w:rPr>
        <w:t>]</w:t>
      </w:r>
      <w:r>
        <w:rPr>
          <w:sz w:val="24"/>
        </w:rPr>
        <w:t>. These three reasons explain the variations observed in the benchmark calculations.</w:t>
      </w:r>
    </w:p>
    <w:p w14:paraId="3B45217B" w14:textId="3930843C" w:rsidR="00A43D6E" w:rsidRPr="00D51345" w:rsidRDefault="000D07EC">
      <w:pPr>
        <w:spacing w:after="200" w:line="480" w:lineRule="auto"/>
        <w:jc w:val="left"/>
        <w:rPr>
          <w:b/>
          <w:i/>
          <w:color w:val="000000"/>
          <w:sz w:val="24"/>
        </w:rPr>
      </w:pPr>
      <w:r w:rsidRPr="00D51345">
        <w:rPr>
          <w:b/>
          <w:i/>
          <w:color w:val="000000"/>
          <w:sz w:val="24"/>
        </w:rPr>
        <w:t>5.1 Discussion on Benchmark Results</w:t>
      </w:r>
    </w:p>
    <w:p w14:paraId="3B45217C" w14:textId="4B7A2DDA" w:rsidR="00A43D6E" w:rsidRDefault="000D07EC">
      <w:pPr>
        <w:spacing w:after="200" w:line="480" w:lineRule="auto"/>
        <w:ind w:firstLine="480"/>
        <w:jc w:val="left"/>
        <w:rPr>
          <w:sz w:val="24"/>
        </w:rPr>
      </w:pPr>
      <w:r>
        <w:rPr>
          <w:color w:val="000000"/>
          <w:sz w:val="24"/>
        </w:rPr>
        <w:t xml:space="preserve">In the benchmark for recycling scenarios involving </w:t>
      </w:r>
      <w:r>
        <w:rPr>
          <w:sz w:val="24"/>
        </w:rPr>
        <w:t>the melting of stainless steel from the structural components of nuclear fuel assemblies at the Swedish nuclear power plant, the difference in the external dose assessment model between RUCAS and RESRAD-RECYCLE was clearly illustrated. The scenarios used in this benchmark involved the same materials for source and shielding, specifically pure iron, leading to the assumption that the effect of</w:t>
      </w:r>
      <w:r w:rsidR="008A5A11">
        <w:rPr>
          <w:rFonts w:hint="eastAsia"/>
          <w:sz w:val="24"/>
        </w:rPr>
        <w:t xml:space="preserve"> </w:t>
      </w:r>
      <w:r w:rsidR="005D4C85">
        <w:rPr>
          <w:rFonts w:hint="eastAsia"/>
          <w:sz w:val="24"/>
          <w:lang w:eastAsia="ko-KR"/>
        </w:rPr>
        <w:t>differences in</w:t>
      </w:r>
      <w:r>
        <w:rPr>
          <w:sz w:val="24"/>
        </w:rPr>
        <w:t xml:space="preserve"> attenuation coefficient would be negligible. Additionally, because the effect of the multilayer buildup factor was not considered under this condition, the same external dose assessment model was applied to RUCAS and MS by excluding these influences. As indicated in </w:t>
      </w:r>
      <w:r w:rsidR="00EE0034">
        <w:rPr>
          <w:bCs/>
          <w:sz w:val="24"/>
          <w:szCs w:val="24"/>
        </w:rPr>
        <w:fldChar w:fldCharType="begin"/>
      </w:r>
      <w:r w:rsidR="00EE0034">
        <w:rPr>
          <w:sz w:val="24"/>
        </w:rPr>
        <w:instrText xml:space="preserve"> REF bm290 \h </w:instrText>
      </w:r>
      <w:r w:rsidR="00EE0034">
        <w:rPr>
          <w:bCs/>
          <w:sz w:val="24"/>
          <w:szCs w:val="24"/>
        </w:rPr>
      </w:r>
      <w:r w:rsidR="00EE0034">
        <w:rPr>
          <w:bCs/>
          <w:sz w:val="24"/>
          <w:szCs w:val="24"/>
        </w:rPr>
        <w:fldChar w:fldCharType="separate"/>
      </w:r>
      <w:r w:rsidR="00BF6712">
        <w:rPr>
          <w:sz w:val="24"/>
        </w:rPr>
        <w:t xml:space="preserve">Table </w:t>
      </w:r>
      <w:r w:rsidR="00BF6712">
        <w:rPr>
          <w:noProof/>
          <w:sz w:val="24"/>
          <w:szCs w:val="24"/>
        </w:rPr>
        <w:t>5</w:t>
      </w:r>
      <w:r w:rsidR="00EE0034">
        <w:rPr>
          <w:bCs/>
          <w:sz w:val="24"/>
          <w:szCs w:val="24"/>
        </w:rPr>
        <w:fldChar w:fldCharType="end"/>
      </w:r>
      <w:r>
        <w:rPr>
          <w:sz w:val="24"/>
        </w:rPr>
        <w:t>, the resulting ratio between RUCAS and MS was nearly identical, ranging from 1.00 to 1.02, whereas that between RUCAS and RESRAD-RECYCLE showed significant differences, increasing to 3.11 as the shielding thickness increased. The similarity between RUCAS and MS results validated the effectiveness of the external dose assessment method applied in RUCAS. Furthermore, the lower doses from RESRAD-RECYCLE, which are perhaps one-third of those estimated by RUCAS under thicker shielding conditions, are considered to potentially affect the reliability of the risk assessment.</w:t>
      </w:r>
    </w:p>
    <w:p w14:paraId="3B45217D" w14:textId="351002E9" w:rsidR="00A43D6E" w:rsidRDefault="000D07EC">
      <w:pPr>
        <w:spacing w:after="200" w:line="480" w:lineRule="auto"/>
        <w:ind w:firstLine="480"/>
        <w:jc w:val="left"/>
        <w:rPr>
          <w:sz w:val="24"/>
        </w:rPr>
      </w:pPr>
      <w:r>
        <w:rPr>
          <w:color w:val="000000"/>
          <w:sz w:val="24"/>
        </w:rPr>
        <w:t xml:space="preserve">In the benchmarking for the shielding recycling scenarios, the effect of the attenuation coefficients on the external dose for each radionuclide was indirectly observed. Differences in the mass attenuation coefficient between the codes for the photon energy groups are expected to correspond to the gamma emission spectra, resulting in variations in the external doses across </w:t>
      </w:r>
      <w:r>
        <w:rPr>
          <w:color w:val="000000"/>
          <w:sz w:val="24"/>
        </w:rPr>
        <w:lastRenderedPageBreak/>
        <w:t xml:space="preserve">radionuclides. As indicated </w:t>
      </w:r>
      <w:r>
        <w:rPr>
          <w:sz w:val="24"/>
        </w:rPr>
        <w:t>in</w:t>
      </w:r>
      <w:r>
        <w:rPr>
          <w:color w:val="000000"/>
          <w:sz w:val="24"/>
        </w:rPr>
        <w:t xml:space="preserve"> </w:t>
      </w:r>
      <w:r>
        <w:rPr>
          <w:sz w:val="24"/>
        </w:rPr>
        <w:t>Eq. (10)</w:t>
      </w:r>
      <w:r>
        <w:rPr>
          <w:color w:val="000000"/>
          <w:sz w:val="24"/>
        </w:rPr>
        <w:t xml:space="preserve">, the number of mean free paths used in the buildup factor calculations can be expressed as the product of the source density, exposure distance, and mass attenuation coefficient. The results shown in </w:t>
      </w:r>
      <w:r w:rsidR="000F3F1E">
        <w:rPr>
          <w:bCs/>
          <w:color w:val="000000" w:themeColor="text1"/>
          <w:sz w:val="24"/>
          <w:szCs w:val="24"/>
        </w:rPr>
        <w:fldChar w:fldCharType="begin"/>
      </w:r>
      <w:r w:rsidR="000F3F1E">
        <w:rPr>
          <w:color w:val="000000"/>
          <w:sz w:val="24"/>
        </w:rPr>
        <w:instrText xml:space="preserve"> REF _Ref171324343 \h </w:instrText>
      </w:r>
      <w:r w:rsidR="000F3F1E">
        <w:rPr>
          <w:bCs/>
          <w:color w:val="000000" w:themeColor="text1"/>
          <w:sz w:val="24"/>
          <w:szCs w:val="24"/>
        </w:rPr>
      </w:r>
      <w:r w:rsidR="000F3F1E">
        <w:rPr>
          <w:bCs/>
          <w:color w:val="000000" w:themeColor="text1"/>
          <w:sz w:val="24"/>
          <w:szCs w:val="24"/>
        </w:rPr>
        <w:fldChar w:fldCharType="separate"/>
      </w:r>
      <w:r w:rsidR="00BF6712" w:rsidRPr="001967BE">
        <w:rPr>
          <w:sz w:val="24"/>
          <w:szCs w:val="24"/>
        </w:rPr>
        <w:t xml:space="preserve">Fig. </w:t>
      </w:r>
      <w:r w:rsidR="00BF6712">
        <w:rPr>
          <w:noProof/>
          <w:sz w:val="24"/>
          <w:szCs w:val="24"/>
        </w:rPr>
        <w:t>6</w:t>
      </w:r>
      <w:r w:rsidR="000F3F1E">
        <w:rPr>
          <w:bCs/>
          <w:color w:val="000000" w:themeColor="text1"/>
          <w:sz w:val="24"/>
          <w:szCs w:val="24"/>
        </w:rPr>
        <w:fldChar w:fldCharType="end"/>
      </w:r>
      <w:r>
        <w:rPr>
          <w:color w:val="000000"/>
          <w:sz w:val="24"/>
        </w:rPr>
        <w:t xml:space="preserve"> suggest that source density and exposure distance influence the discrepancies between the codes, with Cs-137 (emitting 0.662 MeV of gamma) being more sensitive to changes than Co-60 (1.17 and 1.33 MeV) and Zn-65 (1.12 MeV), which emit similar levels of gamma energies and show similar sensitivity levels. These findings suggest differences in the concrete mass attenuation coefficients of the three software products compared in this study. Given that the discrepancies with RESRAD-RECYCLE were observed to be approximately six times greater under concrete</w:t>
      </w:r>
      <w:r w:rsidR="008D705F">
        <w:rPr>
          <w:color w:val="000000"/>
          <w:sz w:val="24"/>
        </w:rPr>
        <w:t>-</w:t>
      </w:r>
      <w:r>
        <w:rPr>
          <w:color w:val="000000"/>
          <w:sz w:val="24"/>
        </w:rPr>
        <w:t xml:space="preserve">shielding conditions, </w:t>
      </w:r>
      <w:r w:rsidR="00BA5C89">
        <w:rPr>
          <w:color w:val="000000"/>
          <w:sz w:val="24"/>
        </w:rPr>
        <w:t>the use of</w:t>
      </w:r>
      <w:r>
        <w:rPr>
          <w:color w:val="000000"/>
          <w:sz w:val="24"/>
        </w:rPr>
        <w:t xml:space="preserve"> RUCAS is more suitable for risk assessment because of its reliability and conservation.</w:t>
      </w:r>
    </w:p>
    <w:p w14:paraId="3B45217E" w14:textId="6FED58EE" w:rsidR="00A43D6E" w:rsidRDefault="000D07EC">
      <w:pPr>
        <w:widowControl/>
        <w:spacing w:line="480" w:lineRule="auto"/>
        <w:ind w:firstLine="480"/>
        <w:jc w:val="left"/>
        <w:rPr>
          <w:color w:val="000000"/>
          <w:sz w:val="24"/>
        </w:rPr>
      </w:pPr>
      <w:r>
        <w:rPr>
          <w:color w:val="000000"/>
          <w:sz w:val="24"/>
        </w:rPr>
        <w:t>In the benchmarking process for various source geometries, the differences observed between RUCAS and MS were examined to ascertain whether they stemmed solely from variations in the attenuation coefficient or could be attributed to differences in the multilayer buildup factor methodology. In the study by Basu et al.</w:t>
      </w:r>
      <w:r w:rsidR="00BA5C89">
        <w:rPr>
          <w:color w:val="000000"/>
          <w:sz w:val="24"/>
        </w:rPr>
        <w:t xml:space="preserve"> </w:t>
      </w:r>
      <w:r w:rsidR="00F56C8A">
        <w:rPr>
          <w:color w:val="000000"/>
          <w:sz w:val="24"/>
        </w:rPr>
        <w:t>[4</w:t>
      </w:r>
      <w:r w:rsidR="0045180C">
        <w:rPr>
          <w:color w:val="000000"/>
          <w:sz w:val="24"/>
        </w:rPr>
        <w:t>4</w:t>
      </w:r>
      <w:r w:rsidR="005D3FFF">
        <w:rPr>
          <w:color w:val="000000"/>
          <w:sz w:val="24"/>
        </w:rPr>
        <w:t>]</w:t>
      </w:r>
      <w:r>
        <w:rPr>
          <w:color w:val="000000"/>
          <w:sz w:val="24"/>
        </w:rPr>
        <w:t>, where the thickness of the iron source was three times that of the concrete shielding (3 mean free paths (</w:t>
      </w:r>
      <w:proofErr w:type="spellStart"/>
      <w:r>
        <w:rPr>
          <w:color w:val="000000"/>
          <w:sz w:val="24"/>
        </w:rPr>
        <w:t>mfp</w:t>
      </w:r>
      <w:proofErr w:type="spellEnd"/>
      <w:r>
        <w:rPr>
          <w:color w:val="000000"/>
          <w:sz w:val="24"/>
        </w:rPr>
        <w:t xml:space="preserve">) of iron followed by 1 </w:t>
      </w:r>
      <w:proofErr w:type="spellStart"/>
      <w:r>
        <w:rPr>
          <w:color w:val="000000"/>
          <w:sz w:val="24"/>
        </w:rPr>
        <w:t>mfp</w:t>
      </w:r>
      <w:proofErr w:type="spellEnd"/>
      <w:r>
        <w:rPr>
          <w:color w:val="000000"/>
          <w:sz w:val="24"/>
        </w:rPr>
        <w:t xml:space="preserve"> of concrete), the LJ method produced a dose that was 1.07 times higher than that obtained with the Kalos method </w:t>
      </w:r>
      <w:r w:rsidR="00F56C8A">
        <w:rPr>
          <w:color w:val="000000"/>
          <w:sz w:val="24"/>
        </w:rPr>
        <w:t>[4</w:t>
      </w:r>
      <w:r w:rsidR="0045180C">
        <w:rPr>
          <w:color w:val="000000"/>
          <w:sz w:val="24"/>
        </w:rPr>
        <w:t>4</w:t>
      </w:r>
      <w:r w:rsidR="00FB0E36">
        <w:rPr>
          <w:color w:val="000000"/>
          <w:sz w:val="24"/>
        </w:rPr>
        <w:t>]</w:t>
      </w:r>
      <w:r>
        <w:rPr>
          <w:color w:val="000000"/>
          <w:sz w:val="24"/>
        </w:rPr>
        <w:t xml:space="preserve">. Consistent with these findings, our study revealed that the LJ method results were 1.11 times higher than those of the Kalos method, indicating a similar trend that accounts for both the buildup factor methodology and the effects of the attenuation coefficients. Both methodologies produced dose results comparable to those obtained using MS, which confirms the accuracy of the shielding calculations performed by RUCAS. Additionally, the consistent similarities between RUCAS and MS results across different source geometries suggest that the RUCAS sampling module is functionally efficient. These similarities, </w:t>
      </w:r>
      <w:r>
        <w:rPr>
          <w:color w:val="000000"/>
          <w:sz w:val="24"/>
        </w:rPr>
        <w:lastRenderedPageBreak/>
        <w:t>independent of the source geometry, further verify the effectiveness and reliability of conducting comprehensive and accurate radiological assessments.</w:t>
      </w:r>
    </w:p>
    <w:p w14:paraId="3B45217F" w14:textId="0B697318" w:rsidR="00A43D6E" w:rsidRDefault="000D07EC">
      <w:pPr>
        <w:widowControl/>
        <w:spacing w:line="480" w:lineRule="auto"/>
        <w:ind w:firstLine="480"/>
        <w:jc w:val="left"/>
        <w:rPr>
          <w:color w:val="000000"/>
          <w:sz w:val="24"/>
          <w:vertAlign w:val="superscript"/>
        </w:rPr>
      </w:pPr>
      <w:r>
        <w:rPr>
          <w:color w:val="000000"/>
          <w:sz w:val="24"/>
        </w:rPr>
        <w:t xml:space="preserve">Based on the study analyses and observations, several conclusions about the differences in the concrete mass attenuation coefficient between RUCAS and MS have been drawn. First, the dose results for pure iron, a material where differences in the attenuation coefficient are typically unanticipated, were similar for RUCAS and MS. This suggests that both systems calculate radiation attenuation in iron consistently, underscoring the accuracy of both tools in handling materials with well-established properties. (2) As presented in </w:t>
      </w:r>
      <w:r w:rsidR="00105A69">
        <w:rPr>
          <w:bCs/>
          <w:color w:val="000000" w:themeColor="text1"/>
          <w:sz w:val="24"/>
          <w:szCs w:val="24"/>
        </w:rPr>
        <w:fldChar w:fldCharType="begin"/>
      </w:r>
      <w:r w:rsidR="00105A69">
        <w:rPr>
          <w:color w:val="000000"/>
          <w:sz w:val="24"/>
        </w:rPr>
        <w:instrText xml:space="preserve"> REF bm310 \h </w:instrText>
      </w:r>
      <w:r w:rsidR="00105A69">
        <w:rPr>
          <w:bCs/>
          <w:color w:val="000000" w:themeColor="text1"/>
          <w:sz w:val="24"/>
          <w:szCs w:val="24"/>
        </w:rPr>
      </w:r>
      <w:r w:rsidR="00105A69">
        <w:rPr>
          <w:bCs/>
          <w:color w:val="000000" w:themeColor="text1"/>
          <w:sz w:val="24"/>
          <w:szCs w:val="24"/>
        </w:rPr>
        <w:fldChar w:fldCharType="separate"/>
      </w:r>
      <w:r w:rsidR="00BF6712">
        <w:rPr>
          <w:sz w:val="24"/>
        </w:rPr>
        <w:t xml:space="preserve">Table </w:t>
      </w:r>
      <w:r w:rsidR="00BF6712">
        <w:rPr>
          <w:noProof/>
          <w:sz w:val="24"/>
          <w:szCs w:val="24"/>
        </w:rPr>
        <w:t>8</w:t>
      </w:r>
      <w:r w:rsidR="00105A69">
        <w:rPr>
          <w:bCs/>
          <w:color w:val="000000" w:themeColor="text1"/>
          <w:sz w:val="24"/>
          <w:szCs w:val="24"/>
        </w:rPr>
        <w:fldChar w:fldCharType="end"/>
      </w:r>
      <w:r>
        <w:rPr>
          <w:color w:val="000000"/>
          <w:sz w:val="24"/>
        </w:rPr>
        <w:t xml:space="preserve">, for 2D source geometries such as disk and plane, which are expected not to exhibit effects of source medium attenuation, the resulting ratios remain constant at 1.04 for both the Kalos and LJ methodologies. (3) The error sensitivity direction and level across the radionuclides are consistent, irrespective of the multilayer buildup factor calculation methodology applied. Despite these consistent findings, the specific type of concrete used in the MS calculations presented a gap, as MS reportedly utilizes an ANSI/ANS report and NIST data. To address this, the mass attenuation coefficients of three reference concretes, as provided by ANSI/ANS and NIST, were compared </w:t>
      </w:r>
      <w:r w:rsidR="004D4A61">
        <w:rPr>
          <w:color w:val="000000"/>
          <w:sz w:val="24"/>
        </w:rPr>
        <w:t>[30</w:t>
      </w:r>
      <w:r w:rsidR="00F56C8A">
        <w:rPr>
          <w:color w:val="000000"/>
          <w:sz w:val="24"/>
        </w:rPr>
        <w:t>,4</w:t>
      </w:r>
      <w:r w:rsidR="0045180C">
        <w:rPr>
          <w:color w:val="000000"/>
          <w:sz w:val="24"/>
        </w:rPr>
        <w:t>8</w:t>
      </w:r>
      <w:r w:rsidR="004D4A61">
        <w:rPr>
          <w:color w:val="000000"/>
          <w:sz w:val="24"/>
        </w:rPr>
        <w:t>]</w:t>
      </w:r>
      <w:r>
        <w:rPr>
          <w:color w:val="000000"/>
          <w:sz w:val="24"/>
        </w:rPr>
        <w:t>.</w:t>
      </w:r>
    </w:p>
    <w:p w14:paraId="3B452181" w14:textId="54B9A4D2" w:rsidR="00A43D6E" w:rsidRDefault="000D07EC" w:rsidP="00D51345">
      <w:pPr>
        <w:widowControl/>
        <w:spacing w:line="480" w:lineRule="auto"/>
        <w:ind w:firstLine="480"/>
        <w:jc w:val="left"/>
        <w:rPr>
          <w:i/>
          <w:color w:val="000000"/>
          <w:sz w:val="24"/>
        </w:rPr>
      </w:pPr>
      <w:r>
        <w:rPr>
          <w:color w:val="000000"/>
          <w:sz w:val="24"/>
        </w:rPr>
        <w:t>For comparative analysis, the mass attenuation coefficients of these reference concretes were applied to RUCAS, considering the presence or absence of coherent scattering. These tests were conducted under benchmark conditions that replicated a 100</w:t>
      </w:r>
      <w:r w:rsidR="008D2A97">
        <w:rPr>
          <w:color w:val="000000"/>
          <w:sz w:val="24"/>
        </w:rPr>
        <w:t>-</w:t>
      </w:r>
      <w:r>
        <w:rPr>
          <w:color w:val="000000"/>
          <w:sz w:val="24"/>
        </w:rPr>
        <w:t>cm iron cylindrical source shielded by a 30</w:t>
      </w:r>
      <w:r w:rsidR="008D2A97">
        <w:rPr>
          <w:color w:val="000000"/>
          <w:sz w:val="24"/>
        </w:rPr>
        <w:t>-</w:t>
      </w:r>
      <w:r>
        <w:rPr>
          <w:color w:val="000000"/>
          <w:sz w:val="24"/>
        </w:rPr>
        <w:t xml:space="preserve">cm concrete barrier. </w:t>
      </w:r>
      <w:r w:rsidR="000F3F1E">
        <w:rPr>
          <w:bCs/>
          <w:color w:val="000000" w:themeColor="text1"/>
          <w:sz w:val="24"/>
          <w:szCs w:val="24"/>
        </w:rPr>
        <w:fldChar w:fldCharType="begin"/>
      </w:r>
      <w:r w:rsidR="000F3F1E">
        <w:rPr>
          <w:color w:val="000000"/>
          <w:sz w:val="24"/>
        </w:rPr>
        <w:instrText xml:space="preserve"> REF _Ref171324393 \h </w:instrText>
      </w:r>
      <w:r w:rsidR="000F3F1E">
        <w:rPr>
          <w:bCs/>
          <w:color w:val="000000" w:themeColor="text1"/>
          <w:sz w:val="24"/>
          <w:szCs w:val="24"/>
        </w:rPr>
      </w:r>
      <w:r w:rsidR="000F3F1E">
        <w:rPr>
          <w:bCs/>
          <w:color w:val="000000" w:themeColor="text1"/>
          <w:sz w:val="24"/>
          <w:szCs w:val="24"/>
        </w:rPr>
        <w:fldChar w:fldCharType="separate"/>
      </w:r>
      <w:r w:rsidR="00BF6712" w:rsidRPr="001967BE">
        <w:rPr>
          <w:sz w:val="24"/>
          <w:szCs w:val="24"/>
        </w:rPr>
        <w:t xml:space="preserve">Fig. </w:t>
      </w:r>
      <w:r w:rsidR="00BF6712">
        <w:rPr>
          <w:noProof/>
          <w:sz w:val="24"/>
          <w:szCs w:val="24"/>
        </w:rPr>
        <w:t>8</w:t>
      </w:r>
      <w:r w:rsidR="000F3F1E">
        <w:rPr>
          <w:bCs/>
          <w:color w:val="000000" w:themeColor="text1"/>
          <w:sz w:val="24"/>
          <w:szCs w:val="24"/>
        </w:rPr>
        <w:fldChar w:fldCharType="end"/>
      </w:r>
      <w:r>
        <w:rPr>
          <w:color w:val="000000"/>
          <w:sz w:val="24"/>
        </w:rPr>
        <w:t xml:space="preserve"> shows the external exposure dose result ratios between RUCAS and MS for the mass attenuation coefficients of the reference concretes. When using the mass attenuation coefficients from ANSI/ANS 6.4.3 NBS Concrete with coherent scattering and NIST Portland concrete with coherent scattering, the RUCAS results are </w:t>
      </w:r>
      <w:proofErr w:type="gramStart"/>
      <w:r>
        <w:rPr>
          <w:color w:val="000000"/>
          <w:sz w:val="24"/>
        </w:rPr>
        <w:t>similar to</w:t>
      </w:r>
      <w:proofErr w:type="gramEnd"/>
      <w:r>
        <w:rPr>
          <w:color w:val="000000"/>
          <w:sz w:val="24"/>
        </w:rPr>
        <w:t xml:space="preserve"> those of MS. This confirms that the differences previously observed between RUCAS and MS </w:t>
      </w:r>
      <w:r>
        <w:rPr>
          <w:color w:val="000000"/>
          <w:sz w:val="24"/>
        </w:rPr>
        <w:lastRenderedPageBreak/>
        <w:t>results using the Kalos method were attributed to differences in the attenuation coefficient rather than a fundamental issue with applying the methodology. Moreover, the variation in the dose values depending on the concrete composition underscores the importance of accurate material characterization in radiological assessments.</w:t>
      </w:r>
    </w:p>
    <w:p w14:paraId="3A9EB040" w14:textId="3F03F4D7" w:rsidR="004C04D3" w:rsidRPr="00A42DB3" w:rsidRDefault="000D07EC" w:rsidP="00A42DB3">
      <w:pPr>
        <w:spacing w:after="200" w:line="480" w:lineRule="auto"/>
        <w:jc w:val="left"/>
        <w:rPr>
          <w:b/>
          <w:i/>
          <w:color w:val="000000"/>
          <w:sz w:val="24"/>
          <w:lang w:eastAsia="ko-KR"/>
        </w:rPr>
      </w:pPr>
      <w:r w:rsidRPr="00D51345">
        <w:rPr>
          <w:b/>
          <w:i/>
          <w:color w:val="000000"/>
          <w:sz w:val="24"/>
        </w:rPr>
        <w:t>5.2 Potential and Limitations</w:t>
      </w:r>
    </w:p>
    <w:p w14:paraId="67D274E7" w14:textId="7CEEB1F8" w:rsidR="00443153" w:rsidRPr="00911F7D" w:rsidRDefault="004F430C" w:rsidP="00174C28">
      <w:pPr>
        <w:spacing w:after="200" w:line="480" w:lineRule="auto"/>
        <w:ind w:firstLine="480"/>
        <w:jc w:val="left"/>
        <w:rPr>
          <w:color w:val="000000" w:themeColor="text1"/>
          <w:sz w:val="24"/>
          <w:lang w:eastAsia="ko-KR"/>
        </w:rPr>
      </w:pPr>
      <w:r w:rsidRPr="00911F7D">
        <w:rPr>
          <w:rFonts w:hint="eastAsia"/>
          <w:color w:val="000000" w:themeColor="text1"/>
          <w:sz w:val="24"/>
          <w:lang w:eastAsia="ko-KR"/>
        </w:rPr>
        <w:t xml:space="preserve">As shown in </w:t>
      </w:r>
      <w:r w:rsidR="000D07EC" w:rsidRPr="00911F7D">
        <w:rPr>
          <w:color w:val="000000" w:themeColor="text1"/>
          <w:sz w:val="24"/>
          <w:lang w:eastAsia="ko-KR"/>
        </w:rPr>
        <w:fldChar w:fldCharType="begin"/>
      </w:r>
      <w:r w:rsidR="000D07EC" w:rsidRPr="00911F7D">
        <w:rPr>
          <w:color w:val="000000" w:themeColor="text1"/>
          <w:sz w:val="24"/>
          <w:lang w:eastAsia="ko-KR"/>
        </w:rPr>
        <w:instrText xml:space="preserve"> </w:instrText>
      </w:r>
      <w:r w:rsidR="000D07EC" w:rsidRPr="00911F7D">
        <w:rPr>
          <w:rFonts w:hint="eastAsia"/>
          <w:color w:val="000000" w:themeColor="text1"/>
          <w:sz w:val="24"/>
          <w:lang w:eastAsia="ko-KR"/>
        </w:rPr>
        <w:instrText>REF _Ref189569533 \h</w:instrText>
      </w:r>
      <w:r w:rsidR="000D07EC" w:rsidRPr="00911F7D">
        <w:rPr>
          <w:color w:val="000000" w:themeColor="text1"/>
          <w:sz w:val="24"/>
          <w:lang w:eastAsia="ko-KR"/>
        </w:rPr>
        <w:instrText xml:space="preserve"> </w:instrText>
      </w:r>
      <w:r w:rsidR="000D07EC" w:rsidRPr="00911F7D">
        <w:rPr>
          <w:color w:val="000000" w:themeColor="text1"/>
          <w:sz w:val="24"/>
          <w:lang w:eastAsia="ko-KR"/>
        </w:rPr>
      </w:r>
      <w:r w:rsidR="000D07EC" w:rsidRPr="00911F7D">
        <w:rPr>
          <w:color w:val="000000" w:themeColor="text1"/>
          <w:sz w:val="24"/>
          <w:lang w:eastAsia="ko-KR"/>
        </w:rPr>
        <w:fldChar w:fldCharType="separate"/>
      </w:r>
      <w:r w:rsidR="000D07EC" w:rsidRPr="00911F7D">
        <w:rPr>
          <w:color w:val="000000" w:themeColor="text1"/>
          <w:sz w:val="24"/>
          <w:szCs w:val="24"/>
        </w:rPr>
        <w:t xml:space="preserve">Table </w:t>
      </w:r>
      <w:r w:rsidR="000D07EC" w:rsidRPr="00911F7D">
        <w:rPr>
          <w:noProof/>
          <w:color w:val="000000" w:themeColor="text1"/>
          <w:sz w:val="24"/>
          <w:szCs w:val="24"/>
        </w:rPr>
        <w:t>9</w:t>
      </w:r>
      <w:r w:rsidR="000D07EC" w:rsidRPr="00911F7D">
        <w:rPr>
          <w:color w:val="000000" w:themeColor="text1"/>
          <w:sz w:val="24"/>
          <w:lang w:eastAsia="ko-KR"/>
        </w:rPr>
        <w:fldChar w:fldCharType="end"/>
      </w:r>
      <w:r w:rsidRPr="00911F7D">
        <w:rPr>
          <w:rFonts w:hint="eastAsia"/>
          <w:color w:val="000000" w:themeColor="text1"/>
          <w:sz w:val="24"/>
          <w:lang w:eastAsia="ko-KR"/>
        </w:rPr>
        <w:t>, t</w:t>
      </w:r>
      <w:r w:rsidR="000D07EC" w:rsidRPr="00911F7D">
        <w:rPr>
          <w:color w:val="000000" w:themeColor="text1"/>
          <w:sz w:val="24"/>
        </w:rPr>
        <w:t xml:space="preserve">he analysis of benchmark results </w:t>
      </w:r>
      <w:r w:rsidR="00F30C08" w:rsidRPr="00911F7D">
        <w:rPr>
          <w:rFonts w:hint="eastAsia"/>
          <w:color w:val="000000" w:themeColor="text1"/>
          <w:sz w:val="24"/>
          <w:lang w:eastAsia="ko-KR"/>
        </w:rPr>
        <w:t>show</w:t>
      </w:r>
      <w:r w:rsidR="00ED53AA" w:rsidRPr="00911F7D">
        <w:rPr>
          <w:rFonts w:hint="eastAsia"/>
          <w:color w:val="000000" w:themeColor="text1"/>
          <w:sz w:val="24"/>
          <w:lang w:eastAsia="ko-KR"/>
        </w:rPr>
        <w:t>s</w:t>
      </w:r>
      <w:r w:rsidR="002B15BF" w:rsidRPr="00911F7D">
        <w:rPr>
          <w:rFonts w:hint="eastAsia"/>
          <w:color w:val="000000" w:themeColor="text1"/>
          <w:sz w:val="24"/>
          <w:lang w:eastAsia="ko-KR"/>
        </w:rPr>
        <w:t xml:space="preserve"> the </w:t>
      </w:r>
      <w:r w:rsidR="006D4938" w:rsidRPr="00911F7D">
        <w:rPr>
          <w:rFonts w:hint="eastAsia"/>
          <w:color w:val="000000" w:themeColor="text1"/>
          <w:sz w:val="24"/>
          <w:lang w:eastAsia="ko-KR"/>
        </w:rPr>
        <w:t>merits of</w:t>
      </w:r>
      <w:r w:rsidR="00870A68" w:rsidRPr="00911F7D">
        <w:rPr>
          <w:rFonts w:hint="eastAsia"/>
          <w:color w:val="000000" w:themeColor="text1"/>
          <w:sz w:val="24"/>
          <w:lang w:eastAsia="ko-KR"/>
        </w:rPr>
        <w:t xml:space="preserve"> RUCAS </w:t>
      </w:r>
      <w:r w:rsidR="006B597C" w:rsidRPr="00911F7D">
        <w:rPr>
          <w:rFonts w:hint="eastAsia"/>
          <w:color w:val="000000" w:themeColor="text1"/>
          <w:sz w:val="24"/>
          <w:lang w:eastAsia="ko-KR"/>
        </w:rPr>
        <w:t xml:space="preserve">compared to other conventional dose assessment software, such as MS and RESRAD-RECYCLE. </w:t>
      </w:r>
      <w:r w:rsidR="0085581E" w:rsidRPr="00911F7D">
        <w:rPr>
          <w:rFonts w:hint="eastAsia"/>
          <w:color w:val="000000" w:themeColor="text1"/>
          <w:sz w:val="24"/>
          <w:lang w:eastAsia="ko-KR"/>
        </w:rPr>
        <w:t>Because t</w:t>
      </w:r>
      <w:r w:rsidR="00174C28" w:rsidRPr="00911F7D">
        <w:rPr>
          <w:rFonts w:hint="eastAsia"/>
          <w:color w:val="000000" w:themeColor="text1"/>
          <w:sz w:val="24"/>
          <w:lang w:eastAsia="ko-KR"/>
        </w:rPr>
        <w:t xml:space="preserve">he results </w:t>
      </w:r>
      <w:r w:rsidR="000D07EC" w:rsidRPr="00911F7D">
        <w:rPr>
          <w:color w:val="000000" w:themeColor="text1"/>
          <w:sz w:val="24"/>
        </w:rPr>
        <w:t>affirmed the validity of the models employed in RUCAS for assessing external and internal exposure doses to the byproducts: ingots, slag, and dust, which are transformed during the recycling process</w:t>
      </w:r>
      <w:r w:rsidR="0085581E" w:rsidRPr="00911F7D">
        <w:rPr>
          <w:rFonts w:hint="eastAsia"/>
          <w:color w:val="000000" w:themeColor="text1"/>
          <w:sz w:val="24"/>
          <w:lang w:eastAsia="ko-KR"/>
        </w:rPr>
        <w:t xml:space="preserve">, </w:t>
      </w:r>
      <w:r w:rsidR="00443153" w:rsidRPr="00911F7D">
        <w:rPr>
          <w:rFonts w:hint="eastAsia"/>
          <w:color w:val="000000" w:themeColor="text1"/>
          <w:sz w:val="24"/>
          <w:lang w:eastAsia="ko-KR"/>
        </w:rPr>
        <w:t>RUCAS offers the following benefits:</w:t>
      </w:r>
    </w:p>
    <w:p w14:paraId="13B284D3" w14:textId="77777777" w:rsidR="00080713" w:rsidRPr="00911F7D" w:rsidRDefault="005E5F01" w:rsidP="00174C28">
      <w:pPr>
        <w:spacing w:after="200" w:line="480" w:lineRule="auto"/>
        <w:ind w:firstLine="480"/>
        <w:jc w:val="left"/>
        <w:rPr>
          <w:color w:val="000000" w:themeColor="text1"/>
          <w:sz w:val="24"/>
          <w:lang w:eastAsia="ko-KR"/>
        </w:rPr>
      </w:pPr>
      <w:r w:rsidRPr="00911F7D">
        <w:rPr>
          <w:rFonts w:hint="eastAsia"/>
          <w:color w:val="000000" w:themeColor="text1"/>
          <w:sz w:val="24"/>
          <w:lang w:eastAsia="ko-KR"/>
        </w:rPr>
        <w:t>First</w:t>
      </w:r>
      <w:r w:rsidR="000D07EC" w:rsidRPr="00911F7D">
        <w:rPr>
          <w:color w:val="000000" w:themeColor="text1"/>
          <w:sz w:val="24"/>
        </w:rPr>
        <w:t>, RUCAS demonstrated a more accurate evaluation model for shielding effects and for various source geometries compared to RESRAD-RECYCLE.</w:t>
      </w:r>
      <w:r w:rsidR="00F7067F" w:rsidRPr="00911F7D">
        <w:rPr>
          <w:rFonts w:hint="eastAsia"/>
          <w:color w:val="000000" w:themeColor="text1"/>
          <w:sz w:val="24"/>
          <w:lang w:eastAsia="ko-KR"/>
        </w:rPr>
        <w:t xml:space="preserve"> In multi-layer shielding calculations</w:t>
      </w:r>
      <w:r w:rsidR="00EE3CF0" w:rsidRPr="00911F7D">
        <w:rPr>
          <w:rFonts w:hint="eastAsia"/>
          <w:color w:val="000000" w:themeColor="text1"/>
          <w:sz w:val="24"/>
          <w:lang w:eastAsia="ko-KR"/>
        </w:rPr>
        <w:t xml:space="preserve">, </w:t>
      </w:r>
      <w:r w:rsidR="006C28AD" w:rsidRPr="00911F7D">
        <w:rPr>
          <w:rFonts w:hint="eastAsia"/>
          <w:color w:val="000000" w:themeColor="text1"/>
          <w:sz w:val="24"/>
          <w:lang w:eastAsia="ko-KR"/>
        </w:rPr>
        <w:t xml:space="preserve">the </w:t>
      </w:r>
      <w:r w:rsidR="00EE3CF0" w:rsidRPr="00911F7D">
        <w:rPr>
          <w:rFonts w:hint="eastAsia"/>
          <w:color w:val="000000" w:themeColor="text1"/>
          <w:sz w:val="24"/>
          <w:lang w:eastAsia="ko-KR"/>
        </w:rPr>
        <w:t xml:space="preserve">editable attenuation </w:t>
      </w:r>
      <w:r w:rsidR="00EE3CF0" w:rsidRPr="00911F7D">
        <w:rPr>
          <w:color w:val="000000" w:themeColor="text1"/>
          <w:sz w:val="24"/>
          <w:lang w:eastAsia="ko-KR"/>
        </w:rPr>
        <w:t>coefficient</w:t>
      </w:r>
      <w:r w:rsidR="00EE3CF0" w:rsidRPr="00911F7D">
        <w:rPr>
          <w:rFonts w:hint="eastAsia"/>
          <w:color w:val="000000" w:themeColor="text1"/>
          <w:sz w:val="24"/>
          <w:lang w:eastAsia="ko-KR"/>
        </w:rPr>
        <w:t xml:space="preserve">s and </w:t>
      </w:r>
      <w:r w:rsidR="006C28AD" w:rsidRPr="00911F7D">
        <w:rPr>
          <w:rFonts w:hint="eastAsia"/>
          <w:color w:val="000000" w:themeColor="text1"/>
          <w:sz w:val="24"/>
          <w:lang w:eastAsia="ko-KR"/>
        </w:rPr>
        <w:t xml:space="preserve">enhanced </w:t>
      </w:r>
      <w:r w:rsidR="00EE3CF0" w:rsidRPr="00911F7D">
        <w:rPr>
          <w:rFonts w:hint="eastAsia"/>
          <w:color w:val="000000" w:themeColor="text1"/>
          <w:sz w:val="24"/>
          <w:lang w:eastAsia="ko-KR"/>
        </w:rPr>
        <w:t xml:space="preserve">methodology </w:t>
      </w:r>
      <w:r w:rsidR="00445BF8" w:rsidRPr="00911F7D">
        <w:rPr>
          <w:rFonts w:hint="eastAsia"/>
          <w:color w:val="000000" w:themeColor="text1"/>
          <w:sz w:val="24"/>
          <w:lang w:eastAsia="ko-KR"/>
        </w:rPr>
        <w:t xml:space="preserve">of RUCAS contribute to a synergistic effect, leading </w:t>
      </w:r>
      <w:r w:rsidR="00AD2709" w:rsidRPr="00911F7D">
        <w:rPr>
          <w:rFonts w:hint="eastAsia"/>
          <w:color w:val="000000" w:themeColor="text1"/>
          <w:sz w:val="24"/>
          <w:lang w:eastAsia="ko-KR"/>
        </w:rPr>
        <w:t xml:space="preserve">to improved calculation accuracy and conservatism, as evidenced by higher dose estimates compared </w:t>
      </w:r>
      <w:r w:rsidR="008F157D" w:rsidRPr="00911F7D">
        <w:rPr>
          <w:rFonts w:hint="eastAsia"/>
          <w:color w:val="000000" w:themeColor="text1"/>
          <w:sz w:val="24"/>
          <w:lang w:eastAsia="ko-KR"/>
        </w:rPr>
        <w:t>to RESRAD-RECYCLE</w:t>
      </w:r>
      <w:r w:rsidR="002C38E2" w:rsidRPr="00911F7D">
        <w:rPr>
          <w:rFonts w:hint="eastAsia"/>
          <w:color w:val="000000" w:themeColor="text1"/>
          <w:sz w:val="24"/>
          <w:lang w:eastAsia="ko-KR"/>
        </w:rPr>
        <w:t xml:space="preserve">. These findings suggest that RUCAS has the </w:t>
      </w:r>
      <w:r w:rsidR="002C38E2" w:rsidRPr="00911F7D">
        <w:rPr>
          <w:color w:val="000000" w:themeColor="text1"/>
          <w:sz w:val="24"/>
          <w:lang w:eastAsia="ko-KR"/>
        </w:rPr>
        <w:t>potential</w:t>
      </w:r>
      <w:r w:rsidR="002C38E2" w:rsidRPr="00911F7D">
        <w:rPr>
          <w:rFonts w:hint="eastAsia"/>
          <w:color w:val="000000" w:themeColor="text1"/>
          <w:sz w:val="24"/>
          <w:lang w:eastAsia="ko-KR"/>
        </w:rPr>
        <w:t xml:space="preserve"> to serve as a replacement for RESRAD-RECYCLE in the safety assessment of radioactive waste recycling, where </w:t>
      </w:r>
      <w:r w:rsidR="00941AE0" w:rsidRPr="00911F7D">
        <w:rPr>
          <w:rFonts w:hint="eastAsia"/>
          <w:color w:val="000000" w:themeColor="text1"/>
          <w:sz w:val="24"/>
          <w:lang w:eastAsia="ko-KR"/>
        </w:rPr>
        <w:t xml:space="preserve">safety is a critical consideration. </w:t>
      </w:r>
    </w:p>
    <w:p w14:paraId="580CA323" w14:textId="1270AC2F" w:rsidR="00E8263C" w:rsidRPr="00911F7D" w:rsidRDefault="005D4599" w:rsidP="009B1E05">
      <w:pPr>
        <w:spacing w:after="200" w:line="480" w:lineRule="auto"/>
        <w:ind w:firstLine="480"/>
        <w:jc w:val="left"/>
        <w:rPr>
          <w:color w:val="000000" w:themeColor="text1"/>
          <w:sz w:val="24"/>
          <w:lang w:eastAsia="ko-KR"/>
        </w:rPr>
      </w:pPr>
      <w:r w:rsidRPr="00911F7D">
        <w:rPr>
          <w:rFonts w:hint="eastAsia"/>
          <w:color w:val="000000" w:themeColor="text1"/>
          <w:sz w:val="24"/>
          <w:lang w:eastAsia="ko-KR"/>
        </w:rPr>
        <w:t>Furthermore</w:t>
      </w:r>
      <w:r w:rsidR="00E8263C" w:rsidRPr="00911F7D">
        <w:rPr>
          <w:rFonts w:hint="eastAsia"/>
          <w:color w:val="000000" w:themeColor="text1"/>
          <w:sz w:val="24"/>
          <w:lang w:eastAsia="ko-KR"/>
        </w:rPr>
        <w:t xml:space="preserve">, </w:t>
      </w:r>
      <w:r w:rsidR="000D07EC" w:rsidRPr="00911F7D">
        <w:rPr>
          <w:color w:val="000000" w:themeColor="text1"/>
          <w:sz w:val="24"/>
        </w:rPr>
        <w:t xml:space="preserve">RUCAS </w:t>
      </w:r>
      <w:r w:rsidR="009B1E05" w:rsidRPr="00911F7D">
        <w:rPr>
          <w:rFonts w:hint="eastAsia"/>
          <w:color w:val="000000" w:themeColor="text1"/>
          <w:sz w:val="24"/>
          <w:lang w:eastAsia="ko-KR"/>
        </w:rPr>
        <w:t>c</w:t>
      </w:r>
      <w:r w:rsidR="000D07EC" w:rsidRPr="00911F7D">
        <w:rPr>
          <w:color w:val="000000" w:themeColor="text1"/>
          <w:sz w:val="24"/>
        </w:rPr>
        <w:t>an also access multiple exposure scenarios</w:t>
      </w:r>
      <w:r w:rsidR="00CA33FF" w:rsidRPr="00911F7D">
        <w:rPr>
          <w:rFonts w:hint="eastAsia"/>
          <w:color w:val="000000" w:themeColor="text1"/>
          <w:sz w:val="24"/>
          <w:lang w:eastAsia="ko-KR"/>
        </w:rPr>
        <w:t xml:space="preserve"> </w:t>
      </w:r>
      <w:r w:rsidR="00261D52" w:rsidRPr="00911F7D">
        <w:rPr>
          <w:rFonts w:hint="eastAsia"/>
          <w:color w:val="000000" w:themeColor="text1"/>
          <w:sz w:val="24"/>
          <w:lang w:eastAsia="ko-KR"/>
        </w:rPr>
        <w:t xml:space="preserve">including </w:t>
      </w:r>
      <w:r w:rsidR="004D4581" w:rsidRPr="00911F7D">
        <w:rPr>
          <w:rFonts w:hint="eastAsia"/>
          <w:color w:val="000000" w:themeColor="text1"/>
          <w:sz w:val="24"/>
          <w:lang w:eastAsia="ko-KR"/>
        </w:rPr>
        <w:t>various exposure pathways</w:t>
      </w:r>
      <w:r w:rsidR="00A44382" w:rsidRPr="00911F7D">
        <w:rPr>
          <w:rFonts w:hint="eastAsia"/>
          <w:color w:val="000000" w:themeColor="text1"/>
          <w:sz w:val="24"/>
          <w:lang w:eastAsia="ko-KR"/>
        </w:rPr>
        <w:t xml:space="preserve"> such as external exposure, ingestion, and inhalation,</w:t>
      </w:r>
      <w:r w:rsidR="000D07EC" w:rsidRPr="00911F7D">
        <w:rPr>
          <w:color w:val="000000" w:themeColor="text1"/>
          <w:sz w:val="24"/>
        </w:rPr>
        <w:t xml:space="preserve"> in a single calculation</w:t>
      </w:r>
      <w:r w:rsidR="003D346D" w:rsidRPr="00911F7D">
        <w:rPr>
          <w:rFonts w:hint="eastAsia"/>
          <w:color w:val="000000" w:themeColor="text1"/>
          <w:sz w:val="24"/>
          <w:lang w:eastAsia="ko-KR"/>
        </w:rPr>
        <w:t xml:space="preserve"> while </w:t>
      </w:r>
      <w:r w:rsidR="00B775EA" w:rsidRPr="00911F7D">
        <w:rPr>
          <w:rFonts w:hint="eastAsia"/>
          <w:color w:val="000000" w:themeColor="text1"/>
          <w:sz w:val="24"/>
          <w:lang w:eastAsia="ko-KR"/>
        </w:rPr>
        <w:t>maintaining a level of accuracy comparable to MS in external dose assessment</w:t>
      </w:r>
      <w:r w:rsidR="000D07EC" w:rsidRPr="00911F7D">
        <w:rPr>
          <w:color w:val="000000" w:themeColor="text1"/>
          <w:sz w:val="24"/>
        </w:rPr>
        <w:t xml:space="preserve">. </w:t>
      </w:r>
      <w:r w:rsidR="00C275C3" w:rsidRPr="00911F7D">
        <w:rPr>
          <w:rFonts w:hint="eastAsia"/>
          <w:color w:val="000000" w:themeColor="text1"/>
          <w:sz w:val="24"/>
          <w:lang w:eastAsia="ko-KR"/>
        </w:rPr>
        <w:t xml:space="preserve">In contrast, </w:t>
      </w:r>
      <w:r w:rsidR="00680128" w:rsidRPr="00911F7D">
        <w:rPr>
          <w:rFonts w:hint="eastAsia"/>
          <w:color w:val="000000" w:themeColor="text1"/>
          <w:sz w:val="24"/>
          <w:lang w:eastAsia="ko-KR"/>
        </w:rPr>
        <w:t>as</w:t>
      </w:r>
      <w:r w:rsidR="003821EC" w:rsidRPr="00911F7D">
        <w:rPr>
          <w:rFonts w:hint="eastAsia"/>
          <w:color w:val="000000" w:themeColor="text1"/>
          <w:sz w:val="24"/>
          <w:lang w:eastAsia="ko-KR"/>
        </w:rPr>
        <w:t xml:space="preserve"> </w:t>
      </w:r>
      <w:r w:rsidR="00C275C3" w:rsidRPr="00911F7D">
        <w:rPr>
          <w:rFonts w:hint="eastAsia"/>
          <w:color w:val="000000" w:themeColor="text1"/>
          <w:sz w:val="24"/>
          <w:lang w:eastAsia="ko-KR"/>
        </w:rPr>
        <w:t xml:space="preserve">MS </w:t>
      </w:r>
      <w:r w:rsidR="00101477" w:rsidRPr="00911F7D">
        <w:rPr>
          <w:rFonts w:hint="eastAsia"/>
          <w:color w:val="000000" w:themeColor="text1"/>
          <w:sz w:val="24"/>
          <w:lang w:eastAsia="ko-KR"/>
        </w:rPr>
        <w:t>is exclusively designed for</w:t>
      </w:r>
      <w:r w:rsidR="00B775EA" w:rsidRPr="00911F7D">
        <w:rPr>
          <w:rFonts w:hint="eastAsia"/>
          <w:color w:val="000000" w:themeColor="text1"/>
          <w:sz w:val="24"/>
          <w:lang w:eastAsia="ko-KR"/>
        </w:rPr>
        <w:t xml:space="preserve"> external dose evaluation and</w:t>
      </w:r>
      <w:r w:rsidR="007D6012" w:rsidRPr="00911F7D">
        <w:rPr>
          <w:rFonts w:hint="eastAsia"/>
          <w:color w:val="000000" w:themeColor="text1"/>
          <w:sz w:val="24"/>
          <w:lang w:eastAsia="ko-KR"/>
        </w:rPr>
        <w:t xml:space="preserve"> </w:t>
      </w:r>
      <w:r w:rsidR="00E90665" w:rsidRPr="00911F7D">
        <w:rPr>
          <w:rFonts w:hint="eastAsia"/>
          <w:color w:val="000000" w:themeColor="text1"/>
          <w:sz w:val="24"/>
          <w:lang w:eastAsia="ko-KR"/>
        </w:rPr>
        <w:t xml:space="preserve">does not support </w:t>
      </w:r>
      <w:r w:rsidR="009F5C79" w:rsidRPr="00911F7D">
        <w:rPr>
          <w:rFonts w:hint="eastAsia"/>
          <w:color w:val="000000" w:themeColor="text1"/>
          <w:sz w:val="24"/>
          <w:lang w:eastAsia="ko-KR"/>
        </w:rPr>
        <w:t>internal exposure</w:t>
      </w:r>
      <w:r w:rsidR="0023687B" w:rsidRPr="00911F7D">
        <w:rPr>
          <w:rFonts w:hint="eastAsia"/>
          <w:color w:val="000000" w:themeColor="text1"/>
          <w:sz w:val="24"/>
          <w:lang w:eastAsia="ko-KR"/>
        </w:rPr>
        <w:t xml:space="preserve"> </w:t>
      </w:r>
      <w:r w:rsidR="006A4FFB" w:rsidRPr="00911F7D">
        <w:rPr>
          <w:rFonts w:hint="eastAsia"/>
          <w:color w:val="000000" w:themeColor="text1"/>
          <w:sz w:val="24"/>
          <w:lang w:eastAsia="ko-KR"/>
        </w:rPr>
        <w:t>calculations</w:t>
      </w:r>
      <w:r w:rsidR="009F5C79" w:rsidRPr="00911F7D">
        <w:rPr>
          <w:rFonts w:hint="eastAsia"/>
          <w:color w:val="000000" w:themeColor="text1"/>
          <w:sz w:val="24"/>
          <w:lang w:eastAsia="ko-KR"/>
        </w:rPr>
        <w:t>,</w:t>
      </w:r>
      <w:r w:rsidR="00330914" w:rsidRPr="00911F7D">
        <w:rPr>
          <w:rFonts w:hint="eastAsia"/>
          <w:color w:val="000000" w:themeColor="text1"/>
          <w:sz w:val="24"/>
          <w:lang w:eastAsia="ko-KR"/>
        </w:rPr>
        <w:t xml:space="preserve"> </w:t>
      </w:r>
      <w:r w:rsidR="00330914" w:rsidRPr="00911F7D">
        <w:rPr>
          <w:color w:val="000000" w:themeColor="text1"/>
          <w:sz w:val="24"/>
          <w:lang w:eastAsia="ko-KR"/>
        </w:rPr>
        <w:t>it requires</w:t>
      </w:r>
      <w:r w:rsidR="002810A4" w:rsidRPr="00911F7D">
        <w:rPr>
          <w:rFonts w:hint="eastAsia"/>
          <w:color w:val="000000" w:themeColor="text1"/>
          <w:sz w:val="24"/>
          <w:lang w:eastAsia="ko-KR"/>
        </w:rPr>
        <w:t xml:space="preserve"> </w:t>
      </w:r>
      <w:r w:rsidR="004B0D69" w:rsidRPr="00911F7D">
        <w:rPr>
          <w:color w:val="000000" w:themeColor="text1"/>
          <w:sz w:val="24"/>
          <w:lang w:eastAsia="ko-KR"/>
        </w:rPr>
        <w:t>separate</w:t>
      </w:r>
      <w:r w:rsidR="004B0D69" w:rsidRPr="00911F7D">
        <w:rPr>
          <w:rFonts w:hint="eastAsia"/>
          <w:color w:val="000000" w:themeColor="text1"/>
          <w:sz w:val="24"/>
          <w:lang w:eastAsia="ko-KR"/>
        </w:rPr>
        <w:t xml:space="preserve"> </w:t>
      </w:r>
      <w:r w:rsidR="00E96B00" w:rsidRPr="00911F7D">
        <w:rPr>
          <w:rFonts w:hint="eastAsia"/>
          <w:color w:val="000000" w:themeColor="text1"/>
          <w:sz w:val="24"/>
          <w:lang w:eastAsia="ko-KR"/>
        </w:rPr>
        <w:t xml:space="preserve">analyses </w:t>
      </w:r>
      <w:r w:rsidR="00623803" w:rsidRPr="00911F7D">
        <w:rPr>
          <w:rFonts w:hint="eastAsia"/>
          <w:color w:val="000000" w:themeColor="text1"/>
          <w:sz w:val="24"/>
          <w:lang w:eastAsia="ko-KR"/>
        </w:rPr>
        <w:t xml:space="preserve">for each </w:t>
      </w:r>
      <w:r w:rsidR="00085BB8" w:rsidRPr="00911F7D">
        <w:rPr>
          <w:rFonts w:hint="eastAsia"/>
          <w:color w:val="000000" w:themeColor="text1"/>
          <w:sz w:val="24"/>
          <w:lang w:eastAsia="ko-KR"/>
        </w:rPr>
        <w:t>recycling scenario</w:t>
      </w:r>
      <w:r w:rsidR="008A76D7" w:rsidRPr="00911F7D">
        <w:rPr>
          <w:rFonts w:hint="eastAsia"/>
          <w:color w:val="000000" w:themeColor="text1"/>
          <w:sz w:val="24"/>
          <w:lang w:eastAsia="ko-KR"/>
        </w:rPr>
        <w:t xml:space="preserve"> and </w:t>
      </w:r>
      <w:r w:rsidR="00E974D3" w:rsidRPr="00911F7D">
        <w:rPr>
          <w:rFonts w:hint="eastAsia"/>
          <w:color w:val="000000" w:themeColor="text1"/>
          <w:sz w:val="24"/>
          <w:lang w:eastAsia="ko-KR"/>
        </w:rPr>
        <w:t xml:space="preserve">additional </w:t>
      </w:r>
      <w:r w:rsidR="00F5515A" w:rsidRPr="00911F7D">
        <w:rPr>
          <w:rFonts w:hint="eastAsia"/>
          <w:color w:val="000000" w:themeColor="text1"/>
          <w:sz w:val="24"/>
          <w:lang w:eastAsia="ko-KR"/>
        </w:rPr>
        <w:lastRenderedPageBreak/>
        <w:t>internal dose assessment software</w:t>
      </w:r>
      <w:r w:rsidR="00330914" w:rsidRPr="00911F7D">
        <w:rPr>
          <w:rFonts w:hint="eastAsia"/>
          <w:color w:val="000000" w:themeColor="text1"/>
          <w:sz w:val="24"/>
          <w:lang w:eastAsia="ko-KR"/>
        </w:rPr>
        <w:t xml:space="preserve"> to </w:t>
      </w:r>
      <w:r w:rsidR="00A77A59" w:rsidRPr="00911F7D">
        <w:rPr>
          <w:rFonts w:hint="eastAsia"/>
          <w:color w:val="000000" w:themeColor="text1"/>
          <w:sz w:val="24"/>
          <w:lang w:eastAsia="ko-KR"/>
        </w:rPr>
        <w:t xml:space="preserve">conduct a </w:t>
      </w:r>
      <w:r w:rsidR="00174153" w:rsidRPr="00911F7D">
        <w:rPr>
          <w:rFonts w:hint="eastAsia"/>
          <w:color w:val="000000" w:themeColor="text1"/>
          <w:sz w:val="24"/>
          <w:lang w:eastAsia="ko-KR"/>
        </w:rPr>
        <w:t xml:space="preserve">comprehensive </w:t>
      </w:r>
      <w:r w:rsidR="00AD649C" w:rsidRPr="00911F7D">
        <w:rPr>
          <w:rFonts w:hint="eastAsia"/>
          <w:color w:val="000000" w:themeColor="text1"/>
          <w:sz w:val="24"/>
          <w:lang w:eastAsia="ko-KR"/>
        </w:rPr>
        <w:t xml:space="preserve">safety assessment of decommissioning waste recycling. </w:t>
      </w:r>
      <w:r w:rsidR="00961EAD" w:rsidRPr="00911F7D">
        <w:rPr>
          <w:rFonts w:hint="eastAsia"/>
          <w:color w:val="000000" w:themeColor="text1"/>
          <w:sz w:val="24"/>
          <w:lang w:eastAsia="ko-KR"/>
        </w:rPr>
        <w:t>Conversely</w:t>
      </w:r>
      <w:r w:rsidR="00E735E5" w:rsidRPr="00911F7D">
        <w:rPr>
          <w:rFonts w:hint="eastAsia"/>
          <w:color w:val="000000" w:themeColor="text1"/>
          <w:sz w:val="24"/>
          <w:lang w:eastAsia="ko-KR"/>
        </w:rPr>
        <w:t xml:space="preserve">, RUCAS </w:t>
      </w:r>
      <w:r w:rsidR="008727DB" w:rsidRPr="00911F7D">
        <w:rPr>
          <w:rFonts w:hint="eastAsia"/>
          <w:color w:val="000000" w:themeColor="text1"/>
          <w:sz w:val="24"/>
          <w:lang w:eastAsia="ko-KR"/>
        </w:rPr>
        <w:t>simplifies the process</w:t>
      </w:r>
      <w:r w:rsidR="00F607A7" w:rsidRPr="00911F7D">
        <w:rPr>
          <w:rFonts w:hint="eastAsia"/>
          <w:color w:val="000000" w:themeColor="text1"/>
          <w:sz w:val="24"/>
          <w:lang w:eastAsia="ko-KR"/>
        </w:rPr>
        <w:t xml:space="preserve"> by evaluating</w:t>
      </w:r>
      <w:r w:rsidR="008B1D2E" w:rsidRPr="00911F7D">
        <w:rPr>
          <w:rFonts w:hint="eastAsia"/>
          <w:color w:val="000000" w:themeColor="text1"/>
          <w:sz w:val="24"/>
          <w:lang w:eastAsia="ko-KR"/>
        </w:rPr>
        <w:t xml:space="preserve"> built-in recycling scenarios in a single calculation</w:t>
      </w:r>
      <w:r w:rsidR="00282DDF" w:rsidRPr="00911F7D">
        <w:rPr>
          <w:rFonts w:hint="eastAsia"/>
          <w:color w:val="000000" w:themeColor="text1"/>
          <w:sz w:val="24"/>
          <w:lang w:eastAsia="ko-KR"/>
        </w:rPr>
        <w:t>,</w:t>
      </w:r>
      <w:r w:rsidR="006F5AA3" w:rsidRPr="00911F7D">
        <w:rPr>
          <w:rFonts w:hint="eastAsia"/>
          <w:color w:val="000000" w:themeColor="text1"/>
          <w:sz w:val="24"/>
          <w:lang w:eastAsia="ko-KR"/>
        </w:rPr>
        <w:t xml:space="preserve"> </w:t>
      </w:r>
      <w:r w:rsidR="007C783D" w:rsidRPr="00911F7D">
        <w:rPr>
          <w:rFonts w:hint="eastAsia"/>
          <w:color w:val="000000" w:themeColor="text1"/>
          <w:sz w:val="24"/>
          <w:lang w:eastAsia="ko-KR"/>
        </w:rPr>
        <w:t xml:space="preserve">providing </w:t>
      </w:r>
      <w:r w:rsidR="0083574A" w:rsidRPr="00911F7D">
        <w:rPr>
          <w:rFonts w:hint="eastAsia"/>
          <w:color w:val="000000" w:themeColor="text1"/>
          <w:sz w:val="24"/>
          <w:lang w:eastAsia="ko-KR"/>
        </w:rPr>
        <w:t>a</w:t>
      </w:r>
      <w:r w:rsidR="00DC56B5" w:rsidRPr="00911F7D">
        <w:rPr>
          <w:rFonts w:hint="eastAsia"/>
          <w:color w:val="000000" w:themeColor="text1"/>
          <w:sz w:val="24"/>
          <w:lang w:eastAsia="ko-KR"/>
        </w:rPr>
        <w:t xml:space="preserve"> comprehensive </w:t>
      </w:r>
      <w:r w:rsidR="00A66AAF" w:rsidRPr="00911F7D">
        <w:rPr>
          <w:rFonts w:hint="eastAsia"/>
          <w:color w:val="000000" w:themeColor="text1"/>
          <w:sz w:val="24"/>
          <w:lang w:eastAsia="ko-KR"/>
        </w:rPr>
        <w:t xml:space="preserve">analysis </w:t>
      </w:r>
      <w:r w:rsidR="006C1A1E" w:rsidRPr="00911F7D">
        <w:rPr>
          <w:rFonts w:hint="eastAsia"/>
          <w:color w:val="000000" w:themeColor="text1"/>
          <w:sz w:val="24"/>
          <w:lang w:eastAsia="ko-KR"/>
        </w:rPr>
        <w:t>of radionuclide partitioning and various exposure pathways</w:t>
      </w:r>
      <w:r w:rsidR="008B1D2E" w:rsidRPr="00911F7D">
        <w:rPr>
          <w:rFonts w:hint="eastAsia"/>
          <w:color w:val="000000" w:themeColor="text1"/>
          <w:sz w:val="24"/>
          <w:lang w:eastAsia="ko-KR"/>
        </w:rPr>
        <w:t>.</w:t>
      </w:r>
      <w:r w:rsidR="00A4005C" w:rsidRPr="00911F7D">
        <w:rPr>
          <w:rFonts w:hint="eastAsia"/>
          <w:color w:val="000000" w:themeColor="text1"/>
          <w:sz w:val="24"/>
          <w:lang w:eastAsia="ko-KR"/>
        </w:rPr>
        <w:t xml:space="preserve"> </w:t>
      </w:r>
      <w:r w:rsidR="007C783D" w:rsidRPr="00911F7D">
        <w:rPr>
          <w:rFonts w:hint="eastAsia"/>
          <w:color w:val="000000" w:themeColor="text1"/>
          <w:sz w:val="24"/>
          <w:lang w:eastAsia="ko-KR"/>
        </w:rPr>
        <w:t>Therefore</w:t>
      </w:r>
      <w:r w:rsidR="00A4005C" w:rsidRPr="00911F7D">
        <w:rPr>
          <w:rFonts w:hint="eastAsia"/>
          <w:color w:val="000000" w:themeColor="text1"/>
          <w:sz w:val="24"/>
          <w:lang w:eastAsia="ko-KR"/>
        </w:rPr>
        <w:t xml:space="preserve">, RUCAS </w:t>
      </w:r>
      <w:r w:rsidR="00E47604" w:rsidRPr="00911F7D">
        <w:rPr>
          <w:rFonts w:hint="eastAsia"/>
          <w:color w:val="000000" w:themeColor="text1"/>
          <w:sz w:val="24"/>
          <w:lang w:eastAsia="ko-KR"/>
        </w:rPr>
        <w:t xml:space="preserve">offers a significant advantage in </w:t>
      </w:r>
      <w:r w:rsidR="00857B37" w:rsidRPr="00911F7D">
        <w:rPr>
          <w:rFonts w:hint="eastAsia"/>
          <w:color w:val="000000" w:themeColor="text1"/>
          <w:sz w:val="24"/>
          <w:lang w:eastAsia="ko-KR"/>
        </w:rPr>
        <w:t>the safety assessment of decommissioning waste recycling.</w:t>
      </w:r>
    </w:p>
    <w:p w14:paraId="3B452185" w14:textId="2685048F" w:rsidR="00A43D6E" w:rsidRPr="00174C28" w:rsidRDefault="002650F8" w:rsidP="00174C28">
      <w:pPr>
        <w:spacing w:after="200" w:line="480" w:lineRule="auto"/>
        <w:ind w:firstLine="480"/>
        <w:jc w:val="left"/>
        <w:rPr>
          <w:color w:val="000000"/>
          <w:sz w:val="24"/>
          <w:lang w:eastAsia="ko-KR"/>
        </w:rPr>
      </w:pPr>
      <w:r>
        <w:rPr>
          <w:rFonts w:hint="eastAsia"/>
          <w:color w:val="000000"/>
          <w:sz w:val="24"/>
          <w:lang w:eastAsia="ko-KR"/>
        </w:rPr>
        <w:t>However, t</w:t>
      </w:r>
      <w:r w:rsidR="000D07EC">
        <w:rPr>
          <w:color w:val="000000"/>
          <w:sz w:val="24"/>
        </w:rPr>
        <w:t xml:space="preserve">he effectiveness of RUCAS was validated using recycling scenarios and results from the RESRAD-RECYCLE validation report </w:t>
      </w:r>
      <w:r w:rsidR="00765311">
        <w:rPr>
          <w:color w:val="000000"/>
          <w:sz w:val="24"/>
        </w:rPr>
        <w:t>[34</w:t>
      </w:r>
      <w:r w:rsidR="001C3C22">
        <w:rPr>
          <w:color w:val="000000"/>
          <w:sz w:val="24"/>
        </w:rPr>
        <w:t>]</w:t>
      </w:r>
      <w:r w:rsidR="000D07EC">
        <w:rPr>
          <w:color w:val="000000"/>
          <w:sz w:val="24"/>
        </w:rPr>
        <w:t xml:space="preserve">. </w:t>
      </w:r>
      <w:r w:rsidR="00C32931">
        <w:rPr>
          <w:rFonts w:hint="eastAsia"/>
          <w:color w:val="000000"/>
          <w:sz w:val="24"/>
          <w:lang w:eastAsia="ko-KR"/>
        </w:rPr>
        <w:t>T</w:t>
      </w:r>
      <w:r w:rsidR="000D07EC">
        <w:rPr>
          <w:color w:val="000000"/>
          <w:sz w:val="24"/>
        </w:rPr>
        <w:t xml:space="preserve">he limited range of scenario conditions evaluated prevented a comprehensive analysis of dose result ratios between RESRAD-RECYCLE and RUCAS, particularly in terms of variations in shielding thickness. Additional validations are necessary for product use scenarios, worker scenarios, and other source geometries not included in these benchmarks, such as annular cylinder and half-sphere. Because MS cannot assess these source geometries, other software tools capable of complex calculations, such as VISIPLAN 3D ALARA and MCNP codes </w:t>
      </w:r>
      <w:r w:rsidR="00F56C8A">
        <w:rPr>
          <w:color w:val="000000"/>
          <w:sz w:val="24"/>
        </w:rPr>
        <w:t>[5</w:t>
      </w:r>
      <w:r w:rsidR="0045180C">
        <w:rPr>
          <w:color w:val="000000"/>
          <w:sz w:val="24"/>
        </w:rPr>
        <w:t>9</w:t>
      </w:r>
      <w:r w:rsidR="001C3C22">
        <w:rPr>
          <w:color w:val="000000"/>
          <w:sz w:val="24"/>
        </w:rPr>
        <w:t>,21]</w:t>
      </w:r>
      <w:r w:rsidR="000D07EC">
        <w:rPr>
          <w:color w:val="000000"/>
          <w:sz w:val="24"/>
        </w:rPr>
        <w:t xml:space="preserve">, should be considered for additional comparisons. Existing studies noting differences between MCNP and other methodologies </w:t>
      </w:r>
      <w:r w:rsidR="00F56C8A">
        <w:rPr>
          <w:color w:val="000000"/>
          <w:sz w:val="24"/>
        </w:rPr>
        <w:t>[5</w:t>
      </w:r>
      <w:r w:rsidR="0045180C">
        <w:rPr>
          <w:color w:val="000000"/>
          <w:sz w:val="24"/>
        </w:rPr>
        <w:t>0</w:t>
      </w:r>
      <w:r w:rsidR="00F56C8A">
        <w:rPr>
          <w:color w:val="000000"/>
          <w:sz w:val="24"/>
        </w:rPr>
        <w:t>,5</w:t>
      </w:r>
      <w:r w:rsidR="0045180C">
        <w:rPr>
          <w:color w:val="000000"/>
          <w:sz w:val="24"/>
        </w:rPr>
        <w:t>1</w:t>
      </w:r>
      <w:r w:rsidR="00DD5B49">
        <w:rPr>
          <w:color w:val="000000"/>
          <w:sz w:val="24"/>
        </w:rPr>
        <w:t>]</w:t>
      </w:r>
      <w:r w:rsidR="000D07EC">
        <w:rPr>
          <w:color w:val="000000"/>
          <w:sz w:val="24"/>
        </w:rPr>
        <w:t xml:space="preserve"> </w:t>
      </w:r>
      <w:r w:rsidR="000D07EC">
        <w:rPr>
          <w:sz w:val="24"/>
        </w:rPr>
        <w:t>suggest that a comparison between RUCAS and MCNP</w:t>
      </w:r>
      <w:r w:rsidR="000D07EC">
        <w:rPr>
          <w:color w:val="000000"/>
          <w:sz w:val="24"/>
        </w:rPr>
        <w:t xml:space="preserve"> could further verify the validity and conservatism of RUCAS. This approach will bolster the credibility of RUCAS and enhance its development into a robust radioactive waste management tool.</w:t>
      </w:r>
    </w:p>
    <w:p w14:paraId="3B452186" w14:textId="77777777" w:rsidR="00A43D6E" w:rsidRDefault="000D07EC">
      <w:pPr>
        <w:spacing w:after="200" w:line="480" w:lineRule="auto"/>
        <w:jc w:val="left"/>
        <w:rPr>
          <w:b/>
          <w:color w:val="000000"/>
          <w:sz w:val="24"/>
        </w:rPr>
      </w:pPr>
      <w:r>
        <w:rPr>
          <w:b/>
          <w:color w:val="000000"/>
          <w:sz w:val="24"/>
        </w:rPr>
        <w:t>6. Conclusion</w:t>
      </w:r>
    </w:p>
    <w:p w14:paraId="16CD9C28" w14:textId="77777777" w:rsidR="00B557EF" w:rsidRDefault="000D07EC" w:rsidP="004754F8">
      <w:pPr>
        <w:spacing w:after="200" w:line="480" w:lineRule="auto"/>
        <w:ind w:firstLine="480"/>
        <w:jc w:val="left"/>
        <w:rPr>
          <w:color w:val="000000"/>
          <w:sz w:val="24"/>
        </w:rPr>
      </w:pPr>
      <w:r>
        <w:rPr>
          <w:color w:val="000000"/>
          <w:sz w:val="24"/>
        </w:rPr>
        <w:t xml:space="preserve">This study introduced and validated RUCAS, a new tool designed to assess the risks associated with recycling radioactive scrap metals generated from the decommissioning of nuclear facilities. RUCAS represents a significant advancement </w:t>
      </w:r>
      <w:r w:rsidR="00A606F1" w:rsidRPr="00A606F1">
        <w:rPr>
          <w:color w:val="000000"/>
          <w:sz w:val="24"/>
        </w:rPr>
        <w:t>over</w:t>
      </w:r>
      <w:r>
        <w:rPr>
          <w:color w:val="000000"/>
          <w:sz w:val="24"/>
        </w:rPr>
        <w:t xml:space="preserve"> existing tools, particularly in its refined algorithms for calculating exposure doses across various source geometries and </w:t>
      </w:r>
      <w:r>
        <w:rPr>
          <w:color w:val="000000"/>
          <w:sz w:val="24"/>
        </w:rPr>
        <w:lastRenderedPageBreak/>
        <w:t xml:space="preserve">shielding scenarios. The accuracy of RUCAS in evaluating both external and internal exposure doses across diverse recycling scenarios was validated, showcasing its superior precision and operational speed compared to tools such as RESRAD-RECYCLE and MS. RUCAS is a promising tool for assessing the radiological risks posed to radioactive waste recycling-operation workers and customers using recycled-content products. Using RUCAS to ensure the safety of recycled products could enhance public acceptance of radioactive scrap metal recycling, leading to more efficient use of disposal sites for radioactive waste and reduced decommissioning costs, as recycling can alleviate the burden on waste management facilities. Therefore, further validation of RUCAS </w:t>
      </w:r>
      <w:r w:rsidR="00A606F1" w:rsidRPr="00A606F1">
        <w:rPr>
          <w:color w:val="000000"/>
          <w:sz w:val="24"/>
        </w:rPr>
        <w:t>is</w:t>
      </w:r>
      <w:r>
        <w:rPr>
          <w:color w:val="000000"/>
          <w:sz w:val="24"/>
        </w:rPr>
        <w:t xml:space="preserve"> necessary. This is crucial to ensure </w:t>
      </w:r>
      <w:r w:rsidR="00A05D96">
        <w:rPr>
          <w:rFonts w:hint="eastAsia"/>
          <w:color w:val="000000"/>
          <w:sz w:val="24"/>
          <w:lang w:eastAsia="ko-KR"/>
        </w:rPr>
        <w:t>reliable</w:t>
      </w:r>
      <w:r>
        <w:rPr>
          <w:color w:val="000000"/>
          <w:sz w:val="24"/>
        </w:rPr>
        <w:t xml:space="preserve"> risk management in recycling radioactive waste.</w:t>
      </w:r>
    </w:p>
    <w:p w14:paraId="3B45218B" w14:textId="77777777" w:rsidR="00A43D6E" w:rsidRDefault="000D07EC">
      <w:pPr>
        <w:spacing w:after="0" w:line="480" w:lineRule="auto"/>
        <w:jc w:val="left"/>
        <w:rPr>
          <w:b/>
          <w:color w:val="000000"/>
          <w:sz w:val="24"/>
        </w:rPr>
      </w:pPr>
      <w:proofErr w:type="spellStart"/>
      <w:r>
        <w:rPr>
          <w:b/>
          <w:color w:val="000000"/>
          <w:sz w:val="24"/>
        </w:rPr>
        <w:t>CRediT</w:t>
      </w:r>
      <w:proofErr w:type="spellEnd"/>
      <w:r>
        <w:rPr>
          <w:b/>
          <w:color w:val="000000"/>
          <w:sz w:val="24"/>
        </w:rPr>
        <w:t xml:space="preserve"> authorship contribution statement</w:t>
      </w:r>
    </w:p>
    <w:p w14:paraId="043F71FE" w14:textId="50E28822" w:rsidR="003E63F8" w:rsidRDefault="000D07EC">
      <w:pPr>
        <w:spacing w:after="0" w:line="480" w:lineRule="auto"/>
        <w:jc w:val="left"/>
        <w:rPr>
          <w:color w:val="000000"/>
          <w:sz w:val="24"/>
        </w:rPr>
      </w:pPr>
      <w:r>
        <w:rPr>
          <w:b/>
          <w:color w:val="000000"/>
          <w:sz w:val="24"/>
        </w:rPr>
        <w:t>Jaeyeong Park</w:t>
      </w:r>
      <w:r w:rsidR="00655DAC" w:rsidRPr="00655DAC">
        <w:rPr>
          <w:rFonts w:hint="eastAsia"/>
          <w:b/>
          <w:bCs/>
          <w:color w:val="000000"/>
          <w:sz w:val="24"/>
          <w:lang w:eastAsia="ko-KR"/>
        </w:rPr>
        <w:t xml:space="preserve">: </w:t>
      </w:r>
      <w:r>
        <w:rPr>
          <w:color w:val="000000"/>
          <w:sz w:val="24"/>
        </w:rPr>
        <w:t xml:space="preserve">Conceptualization, Supervision, Funding acquisition, Project administration, Writing – original draft. </w:t>
      </w:r>
      <w:proofErr w:type="spellStart"/>
      <w:r>
        <w:rPr>
          <w:b/>
          <w:color w:val="000000"/>
          <w:sz w:val="24"/>
        </w:rPr>
        <w:t>Ugyu</w:t>
      </w:r>
      <w:proofErr w:type="spellEnd"/>
      <w:r>
        <w:rPr>
          <w:b/>
          <w:color w:val="000000"/>
          <w:sz w:val="24"/>
        </w:rPr>
        <w:t xml:space="preserve"> Jeong:</w:t>
      </w:r>
      <w:r>
        <w:rPr>
          <w:color w:val="000000"/>
          <w:sz w:val="24"/>
        </w:rPr>
        <w:t xml:space="preserve"> Investigation, Methodology, Software, Validation, Visualization, Writing – original draft. </w:t>
      </w:r>
      <w:proofErr w:type="spellStart"/>
      <w:r>
        <w:rPr>
          <w:b/>
          <w:color w:val="000000"/>
          <w:sz w:val="24"/>
        </w:rPr>
        <w:t>Hyeongjin</w:t>
      </w:r>
      <w:proofErr w:type="spellEnd"/>
      <w:r>
        <w:rPr>
          <w:b/>
          <w:color w:val="000000"/>
          <w:sz w:val="24"/>
        </w:rPr>
        <w:t xml:space="preserve"> Byeon: </w:t>
      </w:r>
      <w:r>
        <w:rPr>
          <w:color w:val="000000"/>
          <w:sz w:val="24"/>
        </w:rPr>
        <w:t>Visualization, Data curation, Writing – review and editing.</w:t>
      </w:r>
    </w:p>
    <w:p w14:paraId="1D8D6DF9" w14:textId="77777777" w:rsidR="003E63F8" w:rsidRDefault="003E63F8">
      <w:pPr>
        <w:widowControl/>
        <w:spacing w:after="0" w:line="240" w:lineRule="auto"/>
        <w:jc w:val="left"/>
        <w:rPr>
          <w:color w:val="000000"/>
          <w:sz w:val="24"/>
        </w:rPr>
      </w:pPr>
      <w:r>
        <w:rPr>
          <w:color w:val="000000"/>
          <w:sz w:val="24"/>
        </w:rPr>
        <w:br w:type="page"/>
      </w:r>
    </w:p>
    <w:p w14:paraId="3B45218F" w14:textId="4C44651C" w:rsidR="00A43D6E" w:rsidRDefault="003E63F8">
      <w:pPr>
        <w:spacing w:after="0" w:line="480" w:lineRule="auto"/>
        <w:jc w:val="left"/>
        <w:rPr>
          <w:b/>
          <w:color w:val="000000"/>
          <w:sz w:val="24"/>
        </w:rPr>
      </w:pPr>
      <w:r>
        <w:rPr>
          <w:rFonts w:hint="eastAsia"/>
          <w:b/>
          <w:color w:val="000000"/>
          <w:sz w:val="24"/>
          <w:lang w:eastAsia="ko-KR"/>
        </w:rPr>
        <w:lastRenderedPageBreak/>
        <w:t>D</w:t>
      </w:r>
      <w:r w:rsidR="004F2C8F">
        <w:rPr>
          <w:rFonts w:hint="eastAsia"/>
          <w:b/>
          <w:color w:val="000000"/>
          <w:sz w:val="24"/>
          <w:lang w:eastAsia="ko-KR"/>
        </w:rPr>
        <w:t xml:space="preserve">ata </w:t>
      </w:r>
      <w:r w:rsidR="00EB3CA0">
        <w:rPr>
          <w:b/>
          <w:color w:val="000000"/>
          <w:sz w:val="24"/>
        </w:rPr>
        <w:t>availability</w:t>
      </w:r>
    </w:p>
    <w:p w14:paraId="3B452191" w14:textId="2188C96A" w:rsidR="00A43D6E" w:rsidRDefault="00EB3CA0">
      <w:pPr>
        <w:spacing w:after="0" w:line="480" w:lineRule="auto"/>
        <w:jc w:val="left"/>
        <w:rPr>
          <w:sz w:val="24"/>
        </w:rPr>
      </w:pPr>
      <w:r>
        <w:rPr>
          <w:sz w:val="24"/>
        </w:rPr>
        <w:t>The data</w:t>
      </w:r>
      <w:r w:rsidR="008313B9">
        <w:rPr>
          <w:rFonts w:hint="eastAsia"/>
          <w:sz w:val="24"/>
          <w:lang w:eastAsia="ko-KR"/>
        </w:rPr>
        <w:t xml:space="preserve"> and software</w:t>
      </w:r>
      <w:r>
        <w:rPr>
          <w:sz w:val="24"/>
        </w:rPr>
        <w:t xml:space="preserve"> supporting the findings of this study are available from </w:t>
      </w:r>
      <w:r>
        <w:rPr>
          <w:color w:val="000000"/>
          <w:sz w:val="24"/>
        </w:rPr>
        <w:t>Korea Hydro &amp; Nuclear Power Co.</w:t>
      </w:r>
      <w:r>
        <w:rPr>
          <w:sz w:val="24"/>
        </w:rPr>
        <w:t xml:space="preserve"> The data</w:t>
      </w:r>
      <w:r w:rsidR="008313B9">
        <w:rPr>
          <w:rFonts w:hint="eastAsia"/>
          <w:sz w:val="24"/>
          <w:lang w:eastAsia="ko-KR"/>
        </w:rPr>
        <w:t xml:space="preserve"> and software</w:t>
      </w:r>
      <w:r>
        <w:rPr>
          <w:sz w:val="24"/>
        </w:rPr>
        <w:t xml:space="preserve"> used under license for this study are not publicly available owing to restrictions.</w:t>
      </w:r>
    </w:p>
    <w:p w14:paraId="6D432EC3" w14:textId="77777777" w:rsidR="003E63F8" w:rsidRDefault="003E63F8">
      <w:pPr>
        <w:spacing w:after="0" w:line="480" w:lineRule="auto"/>
        <w:jc w:val="left"/>
        <w:rPr>
          <w:b/>
          <w:sz w:val="24"/>
        </w:rPr>
      </w:pPr>
    </w:p>
    <w:p w14:paraId="3B452192" w14:textId="77777777" w:rsidR="00A43D6E" w:rsidRDefault="000D07EC">
      <w:pPr>
        <w:spacing w:after="0" w:line="480" w:lineRule="auto"/>
        <w:jc w:val="left"/>
        <w:rPr>
          <w:b/>
          <w:sz w:val="24"/>
        </w:rPr>
      </w:pPr>
      <w:r>
        <w:rPr>
          <w:b/>
          <w:sz w:val="24"/>
        </w:rPr>
        <w:t>Declaration of competing interest</w:t>
      </w:r>
    </w:p>
    <w:p w14:paraId="3B452193" w14:textId="77777777" w:rsidR="00A43D6E" w:rsidRDefault="000D07EC">
      <w:pPr>
        <w:spacing w:after="0" w:line="480" w:lineRule="auto"/>
        <w:jc w:val="left"/>
        <w:rPr>
          <w:sz w:val="24"/>
        </w:rPr>
      </w:pPr>
      <w:r>
        <w:rPr>
          <w:sz w:val="24"/>
        </w:rPr>
        <w:t>The authors declare that they have no known competing financial interests or personal relationships that could have appeared to influence the work reported in this paper.</w:t>
      </w:r>
    </w:p>
    <w:p w14:paraId="453A04FE" w14:textId="77777777" w:rsidR="005C5D1D" w:rsidRDefault="005C5D1D">
      <w:pPr>
        <w:spacing w:after="0" w:line="480" w:lineRule="auto"/>
        <w:jc w:val="left"/>
        <w:rPr>
          <w:b/>
          <w:sz w:val="24"/>
          <w:lang w:eastAsia="ko-KR"/>
        </w:rPr>
      </w:pPr>
    </w:p>
    <w:p w14:paraId="3B452195" w14:textId="77777777" w:rsidR="00A43D6E" w:rsidRDefault="000D07EC">
      <w:pPr>
        <w:spacing w:after="0" w:line="480" w:lineRule="auto"/>
        <w:jc w:val="left"/>
        <w:rPr>
          <w:b/>
          <w:sz w:val="24"/>
        </w:rPr>
      </w:pPr>
      <w:r>
        <w:rPr>
          <w:b/>
          <w:sz w:val="24"/>
        </w:rPr>
        <w:t>Acknowledgments</w:t>
      </w:r>
    </w:p>
    <w:p w14:paraId="3B452196" w14:textId="393198FC" w:rsidR="0093213D" w:rsidRDefault="000D07EC">
      <w:pPr>
        <w:spacing w:after="0" w:line="480" w:lineRule="auto"/>
        <w:jc w:val="left"/>
        <w:rPr>
          <w:color w:val="000000"/>
          <w:sz w:val="24"/>
        </w:rPr>
      </w:pPr>
      <w:r>
        <w:rPr>
          <w:color w:val="000000"/>
          <w:sz w:val="24"/>
        </w:rPr>
        <w:t>This work was supported by Korea Hydro &amp; Nuclear Power Co., Ltd. (No. 2020-Tech-13).</w:t>
      </w:r>
    </w:p>
    <w:p w14:paraId="74638230" w14:textId="744BF173" w:rsidR="00341D3D" w:rsidRDefault="00341D3D">
      <w:pPr>
        <w:spacing w:after="0" w:line="480" w:lineRule="auto"/>
        <w:jc w:val="left"/>
        <w:rPr>
          <w:sz w:val="24"/>
          <w:lang w:eastAsia="ko-KR"/>
        </w:rPr>
      </w:pPr>
      <w:r>
        <w:rPr>
          <w:color w:val="000000"/>
          <w:sz w:val="24"/>
        </w:rPr>
        <w:t>This work was supported by Korea Hydro &amp; Nuclear Power Co., Ltd. (No. 202</w:t>
      </w:r>
      <w:r>
        <w:rPr>
          <w:rFonts w:hint="eastAsia"/>
          <w:color w:val="000000"/>
          <w:sz w:val="24"/>
          <w:lang w:eastAsia="ko-KR"/>
        </w:rPr>
        <w:t>3</w:t>
      </w:r>
      <w:r>
        <w:rPr>
          <w:color w:val="000000"/>
          <w:sz w:val="24"/>
        </w:rPr>
        <w:t>-Tech-1</w:t>
      </w:r>
      <w:r w:rsidR="004C3367">
        <w:rPr>
          <w:rFonts w:hint="eastAsia"/>
          <w:color w:val="000000"/>
          <w:sz w:val="24"/>
          <w:lang w:eastAsia="ko-KR"/>
        </w:rPr>
        <w:t>4</w:t>
      </w:r>
      <w:r>
        <w:rPr>
          <w:color w:val="000000"/>
          <w:sz w:val="24"/>
        </w:rPr>
        <w:t>).</w:t>
      </w:r>
    </w:p>
    <w:p w14:paraId="3B452198" w14:textId="77777777" w:rsidR="00A43D6E" w:rsidRDefault="000D07EC">
      <w:pPr>
        <w:spacing w:after="0" w:line="480" w:lineRule="auto"/>
        <w:jc w:val="left"/>
        <w:rPr>
          <w:b/>
          <w:color w:val="000000"/>
          <w:sz w:val="24"/>
        </w:rPr>
      </w:pPr>
      <w:r>
        <w:rPr>
          <w:sz w:val="24"/>
        </w:rPr>
        <w:br w:type="page"/>
      </w:r>
      <w:r>
        <w:rPr>
          <w:b/>
          <w:color w:val="000000"/>
          <w:sz w:val="24"/>
        </w:rPr>
        <w:lastRenderedPageBreak/>
        <w:t>References</w:t>
      </w:r>
    </w:p>
    <w:p w14:paraId="5BC104EA" w14:textId="0372DFA6" w:rsidR="00413DCB" w:rsidRDefault="000D07EC" w:rsidP="00413DCB">
      <w:pPr>
        <w:pStyle w:val="a9"/>
        <w:spacing w:after="0" w:line="480" w:lineRule="auto"/>
        <w:ind w:hanging="360"/>
        <w:jc w:val="left"/>
        <w:rPr>
          <w:sz w:val="24"/>
        </w:rPr>
      </w:pPr>
      <w:r>
        <w:rPr>
          <w:sz w:val="24"/>
        </w:rPr>
        <w:t xml:space="preserve">[1] </w:t>
      </w:r>
      <w:r w:rsidR="005A6BEB">
        <w:rPr>
          <w:sz w:val="24"/>
        </w:rPr>
        <w:t xml:space="preserve">H.-W. </w:t>
      </w:r>
      <w:r>
        <w:rPr>
          <w:sz w:val="24"/>
        </w:rPr>
        <w:t xml:space="preserve">Seo, </w:t>
      </w:r>
      <w:r w:rsidR="005A6BEB">
        <w:rPr>
          <w:sz w:val="24"/>
        </w:rPr>
        <w:t xml:space="preserve">D.-H. </w:t>
      </w:r>
      <w:r>
        <w:rPr>
          <w:sz w:val="24"/>
        </w:rPr>
        <w:t xml:space="preserve">Lee, </w:t>
      </w:r>
      <w:r w:rsidR="005A6BEB">
        <w:rPr>
          <w:sz w:val="24"/>
        </w:rPr>
        <w:t xml:space="preserve">D.S. </w:t>
      </w:r>
      <w:r>
        <w:rPr>
          <w:sz w:val="24"/>
        </w:rPr>
        <w:t xml:space="preserve">Kessel, </w:t>
      </w:r>
      <w:r w:rsidR="00F13E91">
        <w:rPr>
          <w:sz w:val="24"/>
        </w:rPr>
        <w:t xml:space="preserve">C.-L. </w:t>
      </w:r>
      <w:proofErr w:type="gramStart"/>
      <w:r>
        <w:rPr>
          <w:sz w:val="24"/>
        </w:rPr>
        <w:t>Kim,  Proposal</w:t>
      </w:r>
      <w:proofErr w:type="gramEnd"/>
      <w:r>
        <w:rPr>
          <w:sz w:val="24"/>
        </w:rPr>
        <w:t xml:space="preserve"> for the management strategy of metallic waste from the decommissioning of Kori Unit 1 by using melting and segmentation technology</w:t>
      </w:r>
      <w:r w:rsidR="007E2C30">
        <w:rPr>
          <w:sz w:val="24"/>
        </w:rPr>
        <w:t>,</w:t>
      </w:r>
      <w:r>
        <w:rPr>
          <w:sz w:val="24"/>
        </w:rPr>
        <w:t xml:space="preserve"> Ann. </w:t>
      </w:r>
      <w:proofErr w:type="spellStart"/>
      <w:r>
        <w:rPr>
          <w:sz w:val="24"/>
        </w:rPr>
        <w:t>Nucl</w:t>
      </w:r>
      <w:proofErr w:type="spellEnd"/>
      <w:r>
        <w:rPr>
          <w:sz w:val="24"/>
        </w:rPr>
        <w:t xml:space="preserve">. Energy. 110 </w:t>
      </w:r>
      <w:r w:rsidR="00F13E91">
        <w:rPr>
          <w:sz w:val="24"/>
        </w:rPr>
        <w:t xml:space="preserve">(2017) </w:t>
      </w:r>
      <w:r>
        <w:rPr>
          <w:sz w:val="24"/>
        </w:rPr>
        <w:t xml:space="preserve">633–647. </w:t>
      </w:r>
      <w:hyperlink r:id="rId9" w:history="1">
        <w:r w:rsidR="00413DCB">
          <w:rPr>
            <w:rStyle w:val="a8"/>
            <w:sz w:val="24"/>
          </w:rPr>
          <w:t>https://doi.org/10.1016/j.anucene.2017.06.056</w:t>
        </w:r>
      </w:hyperlink>
      <w:r>
        <w:rPr>
          <w:sz w:val="24"/>
        </w:rPr>
        <w:t>.</w:t>
      </w:r>
    </w:p>
    <w:p w14:paraId="597AC71D" w14:textId="590958A3" w:rsidR="001251A1" w:rsidRDefault="000D07EC" w:rsidP="00413DCB">
      <w:pPr>
        <w:pStyle w:val="a9"/>
        <w:spacing w:after="0" w:line="480" w:lineRule="auto"/>
        <w:ind w:hanging="360"/>
        <w:jc w:val="left"/>
        <w:rPr>
          <w:sz w:val="24"/>
        </w:rPr>
      </w:pPr>
      <w:r>
        <w:rPr>
          <w:sz w:val="24"/>
        </w:rPr>
        <w:t xml:space="preserve">[2] </w:t>
      </w:r>
      <w:r w:rsidR="00F13E91">
        <w:rPr>
          <w:sz w:val="24"/>
        </w:rPr>
        <w:t xml:space="preserve">T. </w:t>
      </w:r>
      <w:r>
        <w:rPr>
          <w:sz w:val="24"/>
        </w:rPr>
        <w:t xml:space="preserve">Hrncir, </w:t>
      </w:r>
      <w:r w:rsidR="00F13E91">
        <w:rPr>
          <w:sz w:val="24"/>
        </w:rPr>
        <w:t xml:space="preserve">R. </w:t>
      </w:r>
      <w:proofErr w:type="spellStart"/>
      <w:r>
        <w:rPr>
          <w:sz w:val="24"/>
        </w:rPr>
        <w:t>Strazovec</w:t>
      </w:r>
      <w:proofErr w:type="spellEnd"/>
      <w:r>
        <w:rPr>
          <w:sz w:val="24"/>
        </w:rPr>
        <w:t xml:space="preserve">, </w:t>
      </w:r>
      <w:r w:rsidR="00F13E91">
        <w:rPr>
          <w:sz w:val="24"/>
        </w:rPr>
        <w:t xml:space="preserve">M. </w:t>
      </w:r>
      <w:r>
        <w:rPr>
          <w:sz w:val="24"/>
        </w:rPr>
        <w:t>Zachar, Potential for recycling of slightly radioactive metals arising from decommissioning within nuclear sector in Slovakia</w:t>
      </w:r>
      <w:r w:rsidR="007E2C30">
        <w:rPr>
          <w:sz w:val="24"/>
        </w:rPr>
        <w:t>,</w:t>
      </w:r>
      <w:r>
        <w:rPr>
          <w:sz w:val="24"/>
        </w:rPr>
        <w:t xml:space="preserve"> J. Environ. </w:t>
      </w:r>
      <w:proofErr w:type="spellStart"/>
      <w:r>
        <w:rPr>
          <w:sz w:val="24"/>
        </w:rPr>
        <w:t>Radioact</w:t>
      </w:r>
      <w:proofErr w:type="spellEnd"/>
      <w:r>
        <w:rPr>
          <w:sz w:val="24"/>
        </w:rPr>
        <w:t xml:space="preserve">. 196 </w:t>
      </w:r>
      <w:r w:rsidR="00F13E91">
        <w:rPr>
          <w:sz w:val="24"/>
        </w:rPr>
        <w:t xml:space="preserve">(2019) </w:t>
      </w:r>
      <w:r>
        <w:rPr>
          <w:sz w:val="24"/>
        </w:rPr>
        <w:t xml:space="preserve">212–224. </w:t>
      </w:r>
      <w:hyperlink r:id="rId10" w:history="1">
        <w:r w:rsidR="001251A1">
          <w:rPr>
            <w:rStyle w:val="a8"/>
            <w:sz w:val="24"/>
          </w:rPr>
          <w:t>https://doi.org/10.1016/j.jenvrad.2017.08.011</w:t>
        </w:r>
      </w:hyperlink>
      <w:r>
        <w:rPr>
          <w:sz w:val="24"/>
        </w:rPr>
        <w:t>.</w:t>
      </w:r>
    </w:p>
    <w:p w14:paraId="74E3D3F6" w14:textId="064DD71B" w:rsidR="00432F68" w:rsidRDefault="000D07EC" w:rsidP="00432F68">
      <w:pPr>
        <w:pStyle w:val="a9"/>
        <w:spacing w:after="0" w:line="480" w:lineRule="auto"/>
        <w:ind w:hanging="360"/>
        <w:jc w:val="left"/>
        <w:rPr>
          <w:sz w:val="24"/>
        </w:rPr>
      </w:pPr>
      <w:r>
        <w:rPr>
          <w:sz w:val="24"/>
        </w:rPr>
        <w:t xml:space="preserve">[3] </w:t>
      </w:r>
      <w:r w:rsidR="00982AD4">
        <w:rPr>
          <w:sz w:val="24"/>
        </w:rPr>
        <w:t xml:space="preserve">V. </w:t>
      </w:r>
      <w:proofErr w:type="spellStart"/>
      <w:r>
        <w:rPr>
          <w:sz w:val="24"/>
        </w:rPr>
        <w:t>Remeikis</w:t>
      </w:r>
      <w:proofErr w:type="spellEnd"/>
      <w:r>
        <w:rPr>
          <w:sz w:val="24"/>
        </w:rPr>
        <w:t xml:space="preserve">, </w:t>
      </w:r>
      <w:r w:rsidR="00982AD4">
        <w:rPr>
          <w:sz w:val="24"/>
        </w:rPr>
        <w:t xml:space="preserve">J. </w:t>
      </w:r>
      <w:proofErr w:type="spellStart"/>
      <w:r>
        <w:rPr>
          <w:sz w:val="24"/>
        </w:rPr>
        <w:t>Grineviciute</w:t>
      </w:r>
      <w:proofErr w:type="spellEnd"/>
      <w:r>
        <w:rPr>
          <w:sz w:val="24"/>
        </w:rPr>
        <w:t xml:space="preserve">, </w:t>
      </w:r>
      <w:r w:rsidR="00982AD4">
        <w:rPr>
          <w:sz w:val="24"/>
        </w:rPr>
        <w:t xml:space="preserve">G. </w:t>
      </w:r>
      <w:proofErr w:type="spellStart"/>
      <w:r>
        <w:rPr>
          <w:sz w:val="24"/>
        </w:rPr>
        <w:t>Duškesas</w:t>
      </w:r>
      <w:proofErr w:type="spellEnd"/>
      <w:r>
        <w:rPr>
          <w:sz w:val="24"/>
        </w:rPr>
        <w:t xml:space="preserve">, </w:t>
      </w:r>
      <w:r w:rsidR="00982AD4">
        <w:rPr>
          <w:sz w:val="24"/>
        </w:rPr>
        <w:t xml:space="preserve">L. </w:t>
      </w:r>
      <w:proofErr w:type="spellStart"/>
      <w:r>
        <w:rPr>
          <w:sz w:val="24"/>
        </w:rPr>
        <w:t>Juodis</w:t>
      </w:r>
      <w:proofErr w:type="spellEnd"/>
      <w:r>
        <w:rPr>
          <w:sz w:val="24"/>
        </w:rPr>
        <w:t xml:space="preserve">, </w:t>
      </w:r>
      <w:r w:rsidR="00982AD4">
        <w:rPr>
          <w:sz w:val="24"/>
        </w:rPr>
        <w:t xml:space="preserve">R. </w:t>
      </w:r>
      <w:proofErr w:type="spellStart"/>
      <w:r>
        <w:rPr>
          <w:sz w:val="24"/>
        </w:rPr>
        <w:t>Plukienė</w:t>
      </w:r>
      <w:proofErr w:type="spellEnd"/>
      <w:r>
        <w:rPr>
          <w:sz w:val="24"/>
        </w:rPr>
        <w:t xml:space="preserve">, </w:t>
      </w:r>
      <w:r w:rsidR="00982AD4">
        <w:rPr>
          <w:sz w:val="24"/>
        </w:rPr>
        <w:t xml:space="preserve">A. </w:t>
      </w:r>
      <w:proofErr w:type="spellStart"/>
      <w:r>
        <w:rPr>
          <w:sz w:val="24"/>
        </w:rPr>
        <w:t>Plukis</w:t>
      </w:r>
      <w:proofErr w:type="spellEnd"/>
      <w:r>
        <w:rPr>
          <w:sz w:val="24"/>
        </w:rPr>
        <w:t>, Review of modeling experience during operation and decommissioning of RBMK-1500 reactors. II. Radioactive waste management</w:t>
      </w:r>
      <w:r w:rsidR="007E2C30">
        <w:rPr>
          <w:sz w:val="24"/>
        </w:rPr>
        <w:t>,</w:t>
      </w:r>
      <w:r>
        <w:rPr>
          <w:sz w:val="24"/>
        </w:rPr>
        <w:t xml:space="preserve"> </w:t>
      </w:r>
      <w:proofErr w:type="spellStart"/>
      <w:r>
        <w:rPr>
          <w:sz w:val="24"/>
        </w:rPr>
        <w:t>Nucl</w:t>
      </w:r>
      <w:proofErr w:type="spellEnd"/>
      <w:r>
        <w:rPr>
          <w:sz w:val="24"/>
        </w:rPr>
        <w:t xml:space="preserve">. Eng. Des. 380 </w:t>
      </w:r>
      <w:r w:rsidR="00982AD4">
        <w:rPr>
          <w:sz w:val="24"/>
        </w:rPr>
        <w:t>(2021)</w:t>
      </w:r>
      <w:r w:rsidR="00982AD4">
        <w:rPr>
          <w:rFonts w:ascii="Georgia" w:eastAsia="Georgia" w:hAnsi="Georgia" w:cs="Georgia"/>
          <w:color w:val="1F1F1F"/>
          <w:sz w:val="48"/>
        </w:rPr>
        <w:t xml:space="preserve"> </w:t>
      </w:r>
      <w:r>
        <w:rPr>
          <w:sz w:val="24"/>
        </w:rPr>
        <w:t xml:space="preserve">111242. </w:t>
      </w:r>
      <w:hyperlink r:id="rId11" w:history="1">
        <w:r w:rsidR="00432F68">
          <w:rPr>
            <w:rStyle w:val="a8"/>
            <w:sz w:val="24"/>
          </w:rPr>
          <w:t>https://doi.org/10.1016/j.nucengdes.2021.111242</w:t>
        </w:r>
      </w:hyperlink>
      <w:r>
        <w:rPr>
          <w:sz w:val="24"/>
        </w:rPr>
        <w:t>.</w:t>
      </w:r>
    </w:p>
    <w:p w14:paraId="05F2BDF1" w14:textId="768472D6" w:rsidR="001251A1" w:rsidRDefault="000D07EC" w:rsidP="00413DCB">
      <w:pPr>
        <w:pStyle w:val="a9"/>
        <w:spacing w:after="0" w:line="480" w:lineRule="auto"/>
        <w:ind w:hanging="360"/>
        <w:jc w:val="left"/>
        <w:rPr>
          <w:sz w:val="24"/>
        </w:rPr>
      </w:pPr>
      <w:r>
        <w:rPr>
          <w:sz w:val="24"/>
        </w:rPr>
        <w:t xml:space="preserve">[4] </w:t>
      </w:r>
      <w:r w:rsidR="00982AD4">
        <w:rPr>
          <w:sz w:val="24"/>
        </w:rPr>
        <w:t xml:space="preserve">Y.-J. </w:t>
      </w:r>
      <w:r>
        <w:rPr>
          <w:sz w:val="24"/>
        </w:rPr>
        <w:t xml:space="preserve">Lim, </w:t>
      </w:r>
      <w:r w:rsidR="00982AD4">
        <w:rPr>
          <w:sz w:val="24"/>
        </w:rPr>
        <w:t xml:space="preserve">B.-S. </w:t>
      </w:r>
      <w:r>
        <w:rPr>
          <w:sz w:val="24"/>
        </w:rPr>
        <w:t xml:space="preserve">Lee, </w:t>
      </w:r>
      <w:r w:rsidR="00982AD4">
        <w:rPr>
          <w:sz w:val="24"/>
        </w:rPr>
        <w:t xml:space="preserve">S.-O. </w:t>
      </w:r>
      <w:r>
        <w:rPr>
          <w:sz w:val="24"/>
        </w:rPr>
        <w:t xml:space="preserve">Park, </w:t>
      </w:r>
      <w:r w:rsidR="00982AD4">
        <w:rPr>
          <w:sz w:val="24"/>
        </w:rPr>
        <w:t xml:space="preserve">S.-G. </w:t>
      </w:r>
      <w:proofErr w:type="gramStart"/>
      <w:r>
        <w:rPr>
          <w:sz w:val="24"/>
        </w:rPr>
        <w:t>Lee,  A</w:t>
      </w:r>
      <w:proofErr w:type="gramEnd"/>
      <w:r>
        <w:rPr>
          <w:sz w:val="24"/>
        </w:rPr>
        <w:t xml:space="preserve"> study on the clearance waste recycling scenario in the decommissioning of Korea’s nuclear power plants</w:t>
      </w:r>
      <w:r w:rsidR="007E2C30">
        <w:rPr>
          <w:sz w:val="24"/>
        </w:rPr>
        <w:t>,</w:t>
      </w:r>
      <w:r>
        <w:rPr>
          <w:sz w:val="24"/>
        </w:rPr>
        <w:t xml:space="preserve"> Ann. </w:t>
      </w:r>
      <w:proofErr w:type="spellStart"/>
      <w:r>
        <w:rPr>
          <w:sz w:val="24"/>
        </w:rPr>
        <w:t>Nucl</w:t>
      </w:r>
      <w:proofErr w:type="spellEnd"/>
      <w:r>
        <w:rPr>
          <w:sz w:val="24"/>
        </w:rPr>
        <w:t xml:space="preserve">. Energy. 178 </w:t>
      </w:r>
      <w:r w:rsidR="00982AD4">
        <w:rPr>
          <w:sz w:val="24"/>
        </w:rPr>
        <w:t>(2022)</w:t>
      </w:r>
      <w:r>
        <w:rPr>
          <w:sz w:val="24"/>
        </w:rPr>
        <w:t xml:space="preserve">109366. </w:t>
      </w:r>
      <w:hyperlink r:id="rId12" w:history="1">
        <w:r w:rsidR="001251A1">
          <w:rPr>
            <w:rStyle w:val="a8"/>
            <w:sz w:val="24"/>
          </w:rPr>
          <w:t>https://doi.org/10.1016/j.anucene.2022.109366</w:t>
        </w:r>
      </w:hyperlink>
      <w:r>
        <w:rPr>
          <w:sz w:val="24"/>
        </w:rPr>
        <w:t>.</w:t>
      </w:r>
    </w:p>
    <w:p w14:paraId="469FC1D2" w14:textId="7B08968A" w:rsidR="00413DCB" w:rsidRDefault="000D07EC" w:rsidP="00413DCB">
      <w:pPr>
        <w:pStyle w:val="a9"/>
        <w:spacing w:after="0" w:line="480" w:lineRule="auto"/>
        <w:ind w:hanging="360"/>
        <w:jc w:val="left"/>
        <w:rPr>
          <w:sz w:val="24"/>
        </w:rPr>
      </w:pPr>
      <w:r>
        <w:rPr>
          <w:sz w:val="24"/>
        </w:rPr>
        <w:t xml:space="preserve">[5] </w:t>
      </w:r>
      <w:r w:rsidR="00982AD4">
        <w:rPr>
          <w:sz w:val="24"/>
        </w:rPr>
        <w:t xml:space="preserve">I.G. </w:t>
      </w:r>
      <w:r>
        <w:rPr>
          <w:sz w:val="24"/>
        </w:rPr>
        <w:t xml:space="preserve">Chang, </w:t>
      </w:r>
      <w:r w:rsidR="00982AD4">
        <w:rPr>
          <w:sz w:val="24"/>
        </w:rPr>
        <w:t xml:space="preserve">J.H. </w:t>
      </w:r>
      <w:r>
        <w:rPr>
          <w:sz w:val="24"/>
        </w:rPr>
        <w:t>Cheong, A new proposal for controlled recycling of decommissioning concrete waste as part of engineered barriers of a radioactive waste repository and related comprehensive safety assessment</w:t>
      </w:r>
      <w:r w:rsidR="007E2C30">
        <w:rPr>
          <w:sz w:val="24"/>
        </w:rPr>
        <w:t>,</w:t>
      </w:r>
      <w:r>
        <w:rPr>
          <w:sz w:val="24"/>
        </w:rPr>
        <w:t xml:space="preserve"> </w:t>
      </w:r>
      <w:proofErr w:type="spellStart"/>
      <w:r>
        <w:rPr>
          <w:sz w:val="24"/>
        </w:rPr>
        <w:t>Nucl</w:t>
      </w:r>
      <w:proofErr w:type="spellEnd"/>
      <w:r>
        <w:rPr>
          <w:sz w:val="24"/>
        </w:rPr>
        <w:t xml:space="preserve">. Eng. Technol. 55 </w:t>
      </w:r>
      <w:r w:rsidR="00982AD4">
        <w:rPr>
          <w:sz w:val="24"/>
        </w:rPr>
        <w:t>(2023)</w:t>
      </w:r>
      <w:r>
        <w:rPr>
          <w:sz w:val="24"/>
        </w:rPr>
        <w:t xml:space="preserve">530–545. </w:t>
      </w:r>
      <w:hyperlink r:id="rId13" w:history="1">
        <w:r w:rsidR="00413DCB">
          <w:rPr>
            <w:rStyle w:val="a8"/>
            <w:sz w:val="24"/>
          </w:rPr>
          <w:t>https://doi.org/10.1016/j.net.2022.10.028</w:t>
        </w:r>
      </w:hyperlink>
      <w:r>
        <w:rPr>
          <w:sz w:val="24"/>
        </w:rPr>
        <w:t>.</w:t>
      </w:r>
    </w:p>
    <w:p w14:paraId="3776AB09" w14:textId="04C5195B" w:rsidR="001251A1" w:rsidRDefault="000D07EC" w:rsidP="001251A1">
      <w:pPr>
        <w:pStyle w:val="a9"/>
        <w:spacing w:after="0" w:line="480" w:lineRule="auto"/>
        <w:ind w:hanging="360"/>
        <w:jc w:val="left"/>
        <w:rPr>
          <w:sz w:val="24"/>
        </w:rPr>
      </w:pPr>
      <w:r>
        <w:rPr>
          <w:sz w:val="24"/>
        </w:rPr>
        <w:t xml:space="preserve">[6] </w:t>
      </w:r>
      <w:r w:rsidR="00982AD4">
        <w:rPr>
          <w:sz w:val="24"/>
        </w:rPr>
        <w:t xml:space="preserve">B.-M., </w:t>
      </w:r>
      <w:r>
        <w:rPr>
          <w:sz w:val="24"/>
        </w:rPr>
        <w:t xml:space="preserve">Jun, </w:t>
      </w:r>
      <w:r w:rsidR="00315106">
        <w:rPr>
          <w:sz w:val="24"/>
        </w:rPr>
        <w:t>S.H.</w:t>
      </w:r>
      <w:r w:rsidR="00982AD4">
        <w:rPr>
          <w:sz w:val="24"/>
        </w:rPr>
        <w:t xml:space="preserve"> </w:t>
      </w:r>
      <w:r>
        <w:rPr>
          <w:sz w:val="24"/>
        </w:rPr>
        <w:t xml:space="preserve">Chae, </w:t>
      </w:r>
      <w:r w:rsidR="00315106">
        <w:rPr>
          <w:sz w:val="24"/>
        </w:rPr>
        <w:t xml:space="preserve">D. </w:t>
      </w:r>
      <w:r>
        <w:rPr>
          <w:sz w:val="24"/>
        </w:rPr>
        <w:t xml:space="preserve">Kim, </w:t>
      </w:r>
      <w:r w:rsidR="00315106">
        <w:rPr>
          <w:sz w:val="24"/>
        </w:rPr>
        <w:t xml:space="preserve">J.-Y. </w:t>
      </w:r>
      <w:r>
        <w:rPr>
          <w:sz w:val="24"/>
        </w:rPr>
        <w:t xml:space="preserve">Jung, </w:t>
      </w:r>
      <w:r w:rsidR="00315106">
        <w:rPr>
          <w:sz w:val="24"/>
        </w:rPr>
        <w:t xml:space="preserve">T.-J. </w:t>
      </w:r>
      <w:r>
        <w:rPr>
          <w:sz w:val="24"/>
        </w:rPr>
        <w:t xml:space="preserve">Kim, </w:t>
      </w:r>
      <w:r w:rsidR="00315106">
        <w:rPr>
          <w:sz w:val="24"/>
        </w:rPr>
        <w:t xml:space="preserve">S.-N. </w:t>
      </w:r>
      <w:r>
        <w:rPr>
          <w:sz w:val="24"/>
        </w:rPr>
        <w:t xml:space="preserve">Nam, </w:t>
      </w:r>
      <w:r w:rsidR="00315106">
        <w:rPr>
          <w:sz w:val="24"/>
        </w:rPr>
        <w:t xml:space="preserve">Y. </w:t>
      </w:r>
      <w:r>
        <w:rPr>
          <w:sz w:val="24"/>
        </w:rPr>
        <w:t xml:space="preserve">Yoon, </w:t>
      </w:r>
      <w:r w:rsidR="00315106">
        <w:rPr>
          <w:sz w:val="24"/>
        </w:rPr>
        <w:t xml:space="preserve">C. </w:t>
      </w:r>
      <w:r>
        <w:rPr>
          <w:sz w:val="24"/>
        </w:rPr>
        <w:t xml:space="preserve">Park, </w:t>
      </w:r>
      <w:r w:rsidR="00315106">
        <w:rPr>
          <w:sz w:val="24"/>
        </w:rPr>
        <w:t xml:space="preserve">H. </w:t>
      </w:r>
      <w:proofErr w:type="gramStart"/>
      <w:r>
        <w:rPr>
          <w:sz w:val="24"/>
        </w:rPr>
        <w:t xml:space="preserve">Rho, </w:t>
      </w:r>
      <w:r>
        <w:rPr>
          <w:rFonts w:ascii="Georgia" w:eastAsia="Georgia" w:hAnsi="Georgia" w:cs="Georgia"/>
          <w:color w:val="1F1F1F"/>
          <w:sz w:val="48"/>
        </w:rPr>
        <w:t xml:space="preserve"> </w:t>
      </w:r>
      <w:r>
        <w:rPr>
          <w:sz w:val="24"/>
        </w:rPr>
        <w:t>Adsorption</w:t>
      </w:r>
      <w:proofErr w:type="gramEnd"/>
      <w:r>
        <w:rPr>
          <w:sz w:val="24"/>
        </w:rPr>
        <w:t xml:space="preserve"> of uranyl ion on hexagonal boron nitride for remediation of real U-contaminated soil and its interpretation using random forest</w:t>
      </w:r>
      <w:r w:rsidR="007E2C30">
        <w:rPr>
          <w:sz w:val="24"/>
        </w:rPr>
        <w:t>,</w:t>
      </w:r>
      <w:r>
        <w:rPr>
          <w:sz w:val="24"/>
        </w:rPr>
        <w:t xml:space="preserve"> J. Hazard. Mater. 469</w:t>
      </w:r>
      <w:r w:rsidR="00315106">
        <w:rPr>
          <w:sz w:val="24"/>
        </w:rPr>
        <w:t xml:space="preserve"> (2024)</w:t>
      </w:r>
      <w:r w:rsidR="00CF7C84">
        <w:rPr>
          <w:sz w:val="24"/>
        </w:rPr>
        <w:t xml:space="preserve"> </w:t>
      </w:r>
      <w:r>
        <w:rPr>
          <w:sz w:val="24"/>
        </w:rPr>
        <w:t xml:space="preserve">134072. </w:t>
      </w:r>
      <w:hyperlink r:id="rId14" w:history="1">
        <w:r w:rsidR="001251A1">
          <w:rPr>
            <w:rStyle w:val="a8"/>
            <w:sz w:val="24"/>
          </w:rPr>
          <w:t>https://doi.org/10.1016/j.jhazmat.2024.134072</w:t>
        </w:r>
      </w:hyperlink>
      <w:r>
        <w:rPr>
          <w:sz w:val="24"/>
        </w:rPr>
        <w:t>.</w:t>
      </w:r>
    </w:p>
    <w:p w14:paraId="3C717875" w14:textId="14A09249" w:rsidR="001251A1" w:rsidRDefault="000D07EC" w:rsidP="001251A1">
      <w:pPr>
        <w:pStyle w:val="a9"/>
        <w:spacing w:after="0" w:line="480" w:lineRule="auto"/>
        <w:ind w:hanging="360"/>
        <w:jc w:val="left"/>
        <w:rPr>
          <w:sz w:val="24"/>
        </w:rPr>
      </w:pPr>
      <w:r>
        <w:rPr>
          <w:sz w:val="24"/>
        </w:rPr>
        <w:lastRenderedPageBreak/>
        <w:t>[7] IAEA (</w:t>
      </w:r>
      <w:r>
        <w:rPr>
          <w:color w:val="000000"/>
          <w:sz w:val="24"/>
        </w:rPr>
        <w:t>International Atomic Energy Agency)</w:t>
      </w:r>
      <w:r>
        <w:rPr>
          <w:sz w:val="24"/>
        </w:rPr>
        <w:t>, Nuclear Power Reactors in the World, IAEA Reference Data Series No. 2</w:t>
      </w:r>
      <w:r w:rsidR="00CA1FB7">
        <w:rPr>
          <w:sz w:val="24"/>
        </w:rPr>
        <w:t>,</w:t>
      </w:r>
      <w:r w:rsidR="00CA1FB7" w:rsidRPr="00CA1FB7">
        <w:rPr>
          <w:sz w:val="24"/>
        </w:rPr>
        <w:t xml:space="preserve"> </w:t>
      </w:r>
      <w:r w:rsidR="00CA1FB7">
        <w:rPr>
          <w:sz w:val="24"/>
        </w:rPr>
        <w:t>2023.</w:t>
      </w:r>
    </w:p>
    <w:p w14:paraId="38BFBF65" w14:textId="2671BCC8" w:rsidR="001251A1" w:rsidRPr="001251A1" w:rsidRDefault="000D07EC" w:rsidP="00CA1FB7">
      <w:pPr>
        <w:pStyle w:val="a9"/>
        <w:spacing w:after="0" w:line="480" w:lineRule="auto"/>
        <w:ind w:hanging="360"/>
        <w:jc w:val="left"/>
        <w:rPr>
          <w:sz w:val="24"/>
        </w:rPr>
      </w:pPr>
      <w:r>
        <w:rPr>
          <w:sz w:val="24"/>
        </w:rPr>
        <w:t>[8] IAEA (</w:t>
      </w:r>
      <w:r>
        <w:rPr>
          <w:color w:val="000000"/>
          <w:sz w:val="24"/>
        </w:rPr>
        <w:t>International Atomic Energy Agency)</w:t>
      </w:r>
      <w:r>
        <w:rPr>
          <w:sz w:val="24"/>
        </w:rPr>
        <w:t>, Managing Low Radioactivity Material from the Decommissioning of Nuclear Facilities, IAEA Technical Reports Series No. 462</w:t>
      </w:r>
      <w:r w:rsidR="00CA1FB7">
        <w:rPr>
          <w:sz w:val="24"/>
        </w:rPr>
        <w:t>,</w:t>
      </w:r>
      <w:r w:rsidR="00CA1FB7" w:rsidRPr="00CA1FB7">
        <w:rPr>
          <w:sz w:val="24"/>
        </w:rPr>
        <w:t xml:space="preserve"> </w:t>
      </w:r>
      <w:r w:rsidR="00CA1FB7">
        <w:rPr>
          <w:sz w:val="24"/>
        </w:rPr>
        <w:t>2008.</w:t>
      </w:r>
    </w:p>
    <w:p w14:paraId="0C3DB7DD" w14:textId="7A8706F9" w:rsidR="00413DCB" w:rsidRDefault="000D07EC" w:rsidP="00413DCB">
      <w:pPr>
        <w:pStyle w:val="a9"/>
        <w:spacing w:after="0" w:line="480" w:lineRule="auto"/>
        <w:ind w:hanging="360"/>
        <w:jc w:val="left"/>
        <w:rPr>
          <w:sz w:val="24"/>
        </w:rPr>
      </w:pPr>
      <w:r>
        <w:rPr>
          <w:sz w:val="24"/>
        </w:rPr>
        <w:t xml:space="preserve">[9] </w:t>
      </w:r>
      <w:proofErr w:type="spellStart"/>
      <w:r>
        <w:rPr>
          <w:sz w:val="24"/>
        </w:rPr>
        <w:t>Crégut</w:t>
      </w:r>
      <w:proofErr w:type="spellEnd"/>
      <w:r>
        <w:rPr>
          <w:sz w:val="24"/>
        </w:rPr>
        <w:t>, A., Roger, J., Inventory of Information for the Identification of Guiding Principles in the Decommissioning of Nuclear Installations</w:t>
      </w:r>
      <w:r w:rsidR="007E2C30">
        <w:rPr>
          <w:sz w:val="24"/>
        </w:rPr>
        <w:t>,</w:t>
      </w:r>
      <w:r>
        <w:rPr>
          <w:sz w:val="24"/>
        </w:rPr>
        <w:t xml:space="preserve"> Commission of the European Communities, </w:t>
      </w:r>
      <w:r w:rsidR="007E2C30">
        <w:rPr>
          <w:sz w:val="24"/>
        </w:rPr>
        <w:t xml:space="preserve">1991, </w:t>
      </w:r>
      <w:r>
        <w:rPr>
          <w:sz w:val="24"/>
        </w:rPr>
        <w:t>p</w:t>
      </w:r>
      <w:r w:rsidR="007E2C30">
        <w:rPr>
          <w:sz w:val="24"/>
        </w:rPr>
        <w:t>p</w:t>
      </w:r>
      <w:r>
        <w:rPr>
          <w:sz w:val="24"/>
        </w:rPr>
        <w:t>. EUR</w:t>
      </w:r>
      <w:r w:rsidR="00CF7C84">
        <w:rPr>
          <w:sz w:val="24"/>
        </w:rPr>
        <w:t>–</w:t>
      </w:r>
      <w:r>
        <w:rPr>
          <w:sz w:val="24"/>
        </w:rPr>
        <w:t>13642.</w:t>
      </w:r>
    </w:p>
    <w:p w14:paraId="6F209CD6" w14:textId="6E6C32CA" w:rsidR="001251A1" w:rsidRPr="001251A1" w:rsidRDefault="000D07EC" w:rsidP="003257A5">
      <w:pPr>
        <w:pStyle w:val="a9"/>
        <w:spacing w:after="0" w:line="480" w:lineRule="auto"/>
        <w:ind w:hanging="360"/>
        <w:jc w:val="left"/>
        <w:rPr>
          <w:sz w:val="24"/>
        </w:rPr>
      </w:pPr>
      <w:r>
        <w:rPr>
          <w:sz w:val="24"/>
        </w:rPr>
        <w:t>[10] IAEA (</w:t>
      </w:r>
      <w:r>
        <w:rPr>
          <w:color w:val="000000"/>
          <w:sz w:val="24"/>
        </w:rPr>
        <w:t>International Atomic Energy Agency)</w:t>
      </w:r>
      <w:r>
        <w:rPr>
          <w:sz w:val="24"/>
        </w:rPr>
        <w:t>, Radiation Protection and Safety of Radiation Sources: International Basic Safety Standards, IAEA General Safety Requirements part 3</w:t>
      </w:r>
      <w:r w:rsidR="003257A5">
        <w:rPr>
          <w:sz w:val="24"/>
        </w:rPr>
        <w:t>,</w:t>
      </w:r>
      <w:r w:rsidR="003257A5" w:rsidRPr="003257A5">
        <w:rPr>
          <w:sz w:val="24"/>
        </w:rPr>
        <w:t xml:space="preserve"> </w:t>
      </w:r>
      <w:r w:rsidR="003257A5">
        <w:rPr>
          <w:sz w:val="24"/>
        </w:rPr>
        <w:t>2014.</w:t>
      </w:r>
    </w:p>
    <w:p w14:paraId="09C10B83" w14:textId="24B7CE8E" w:rsidR="001251A1" w:rsidRDefault="000D07EC" w:rsidP="00413DCB">
      <w:pPr>
        <w:pStyle w:val="a9"/>
        <w:spacing w:after="0" w:line="480" w:lineRule="auto"/>
        <w:ind w:hanging="360"/>
        <w:jc w:val="left"/>
        <w:rPr>
          <w:sz w:val="24"/>
        </w:rPr>
      </w:pPr>
      <w:r>
        <w:rPr>
          <w:sz w:val="24"/>
        </w:rPr>
        <w:t>[11] IAEA (</w:t>
      </w:r>
      <w:r>
        <w:rPr>
          <w:color w:val="000000"/>
          <w:sz w:val="24"/>
        </w:rPr>
        <w:t>International Atomic Energy Agency)</w:t>
      </w:r>
      <w:r>
        <w:rPr>
          <w:sz w:val="24"/>
        </w:rPr>
        <w:t>, Application of Exemption Principles to the Recycle and Reuse of Materials from Nuclear Facilities, IAEA Safety Series No. 111</w:t>
      </w:r>
      <w:r w:rsidR="00CF7C84">
        <w:rPr>
          <w:sz w:val="24"/>
        </w:rPr>
        <w:t>–</w:t>
      </w:r>
      <w:r>
        <w:rPr>
          <w:sz w:val="24"/>
        </w:rPr>
        <w:t>P-1.1.</w:t>
      </w:r>
      <w:r w:rsidR="00CF7C84">
        <w:rPr>
          <w:sz w:val="24"/>
        </w:rPr>
        <w:t>,</w:t>
      </w:r>
      <w:r w:rsidR="003257A5" w:rsidRPr="003257A5">
        <w:rPr>
          <w:sz w:val="24"/>
        </w:rPr>
        <w:t xml:space="preserve"> </w:t>
      </w:r>
      <w:r w:rsidR="003257A5">
        <w:rPr>
          <w:sz w:val="24"/>
        </w:rPr>
        <w:t>1992.</w:t>
      </w:r>
    </w:p>
    <w:p w14:paraId="4F5028B5" w14:textId="1F7A0E51" w:rsidR="00413DCB" w:rsidRDefault="000D07EC" w:rsidP="00413DCB">
      <w:pPr>
        <w:pStyle w:val="a9"/>
        <w:spacing w:after="0" w:line="480" w:lineRule="auto"/>
        <w:ind w:hanging="360"/>
        <w:jc w:val="left"/>
        <w:rPr>
          <w:sz w:val="24"/>
        </w:rPr>
      </w:pPr>
      <w:r>
        <w:rPr>
          <w:sz w:val="24"/>
        </w:rPr>
        <w:t xml:space="preserve">[12] </w:t>
      </w:r>
      <w:r w:rsidR="00053488">
        <w:rPr>
          <w:sz w:val="24"/>
        </w:rPr>
        <w:t xml:space="preserve">A. </w:t>
      </w:r>
      <w:proofErr w:type="gramStart"/>
      <w:r>
        <w:rPr>
          <w:sz w:val="24"/>
        </w:rPr>
        <w:t>Deckert,  Basis</w:t>
      </w:r>
      <w:proofErr w:type="gramEnd"/>
      <w:r>
        <w:rPr>
          <w:sz w:val="24"/>
        </w:rPr>
        <w:t xml:space="preserve"> for the definition of surface contamination clearance levels for the recycling or reuse of metals arising from the dismantling of nuclear installations</w:t>
      </w:r>
      <w:r w:rsidR="007E2C30">
        <w:rPr>
          <w:sz w:val="24"/>
        </w:rPr>
        <w:t>,</w:t>
      </w:r>
      <w:r>
        <w:rPr>
          <w:sz w:val="24"/>
        </w:rPr>
        <w:t xml:space="preserve"> </w:t>
      </w:r>
      <w:proofErr w:type="spellStart"/>
      <w:r>
        <w:rPr>
          <w:sz w:val="24"/>
        </w:rPr>
        <w:t>Radiat</w:t>
      </w:r>
      <w:proofErr w:type="spellEnd"/>
      <w:r>
        <w:rPr>
          <w:sz w:val="24"/>
        </w:rPr>
        <w:t>. Prot. European Commission. 101</w:t>
      </w:r>
      <w:r w:rsidR="00053488" w:rsidRPr="00053488">
        <w:rPr>
          <w:sz w:val="24"/>
        </w:rPr>
        <w:t xml:space="preserve"> </w:t>
      </w:r>
      <w:r w:rsidR="00053488">
        <w:rPr>
          <w:sz w:val="24"/>
        </w:rPr>
        <w:t>(1998).</w:t>
      </w:r>
    </w:p>
    <w:p w14:paraId="4D860E19" w14:textId="18C2C2D0" w:rsidR="00432F68" w:rsidRPr="00432F68" w:rsidRDefault="000D07EC" w:rsidP="00432F68">
      <w:pPr>
        <w:pStyle w:val="a9"/>
        <w:spacing w:after="0" w:line="480" w:lineRule="auto"/>
        <w:ind w:hanging="360"/>
        <w:jc w:val="left"/>
        <w:rPr>
          <w:sz w:val="24"/>
        </w:rPr>
      </w:pPr>
      <w:r>
        <w:rPr>
          <w:sz w:val="24"/>
        </w:rPr>
        <w:t xml:space="preserve">[13] </w:t>
      </w:r>
      <w:r w:rsidR="00053488">
        <w:rPr>
          <w:sz w:val="24"/>
        </w:rPr>
        <w:t xml:space="preserve">S.F. </w:t>
      </w:r>
      <w:r>
        <w:rPr>
          <w:sz w:val="24"/>
        </w:rPr>
        <w:t xml:space="preserve">Mobbs, </w:t>
      </w:r>
      <w:r w:rsidR="00053488">
        <w:rPr>
          <w:sz w:val="24"/>
        </w:rPr>
        <w:t xml:space="preserve">M.P. </w:t>
      </w:r>
      <w:r>
        <w:rPr>
          <w:sz w:val="24"/>
        </w:rPr>
        <w:t>Harvey, Methodology and Models Used to Calculate Individual and Collective Doses from the Recycling of Metals from the Dismantling of Nuclear Installations</w:t>
      </w:r>
      <w:r w:rsidR="00053488">
        <w:rPr>
          <w:sz w:val="24"/>
        </w:rPr>
        <w:t>,</w:t>
      </w:r>
      <w:r>
        <w:rPr>
          <w:sz w:val="24"/>
        </w:rPr>
        <w:t xml:space="preserve"> </w:t>
      </w:r>
      <w:r w:rsidR="00053488">
        <w:rPr>
          <w:sz w:val="24"/>
        </w:rPr>
        <w:t xml:space="preserve">2000, </w:t>
      </w:r>
      <w:r>
        <w:rPr>
          <w:sz w:val="24"/>
        </w:rPr>
        <w:t>Final Report: Contract No 94-ET-009. European Commission.</w:t>
      </w:r>
    </w:p>
    <w:p w14:paraId="01A5B4BC" w14:textId="1C735F7D" w:rsidR="00413DCB" w:rsidRPr="00413DCB" w:rsidRDefault="000D07EC" w:rsidP="003257A5">
      <w:pPr>
        <w:pStyle w:val="a9"/>
        <w:spacing w:after="0" w:line="480" w:lineRule="auto"/>
        <w:ind w:hanging="360"/>
        <w:jc w:val="left"/>
        <w:rPr>
          <w:sz w:val="24"/>
        </w:rPr>
      </w:pPr>
      <w:r>
        <w:rPr>
          <w:sz w:val="24"/>
        </w:rPr>
        <w:t xml:space="preserve">[14] </w:t>
      </w:r>
      <w:r w:rsidR="00D213B9">
        <w:rPr>
          <w:sz w:val="24"/>
        </w:rPr>
        <w:t xml:space="preserve">R. </w:t>
      </w:r>
      <w:proofErr w:type="spellStart"/>
      <w:r>
        <w:rPr>
          <w:sz w:val="24"/>
        </w:rPr>
        <w:t>Anigstein</w:t>
      </w:r>
      <w:proofErr w:type="spellEnd"/>
      <w:r>
        <w:rPr>
          <w:sz w:val="24"/>
        </w:rPr>
        <w:t xml:space="preserve">, </w:t>
      </w:r>
      <w:r w:rsidR="00D213B9">
        <w:rPr>
          <w:sz w:val="24"/>
        </w:rPr>
        <w:t xml:space="preserve">H.J. </w:t>
      </w:r>
      <w:proofErr w:type="spellStart"/>
      <w:r>
        <w:rPr>
          <w:sz w:val="24"/>
        </w:rPr>
        <w:t>Chmelynski</w:t>
      </w:r>
      <w:proofErr w:type="spellEnd"/>
      <w:r>
        <w:rPr>
          <w:sz w:val="24"/>
        </w:rPr>
        <w:t xml:space="preserve">, </w:t>
      </w:r>
      <w:r w:rsidR="00D213B9">
        <w:rPr>
          <w:sz w:val="24"/>
        </w:rPr>
        <w:t xml:space="preserve">D.A. </w:t>
      </w:r>
      <w:r>
        <w:rPr>
          <w:sz w:val="24"/>
        </w:rPr>
        <w:t xml:space="preserve">Loomis, </w:t>
      </w:r>
      <w:r w:rsidR="00D213B9">
        <w:rPr>
          <w:sz w:val="24"/>
        </w:rPr>
        <w:t xml:space="preserve">S.F. </w:t>
      </w:r>
      <w:r>
        <w:rPr>
          <w:sz w:val="24"/>
        </w:rPr>
        <w:t xml:space="preserve">Marschke, </w:t>
      </w:r>
      <w:r w:rsidR="003257A5">
        <w:rPr>
          <w:sz w:val="24"/>
        </w:rPr>
        <w:t xml:space="preserve">J.J. </w:t>
      </w:r>
      <w:r>
        <w:rPr>
          <w:sz w:val="24"/>
        </w:rPr>
        <w:t xml:space="preserve">Mauro, </w:t>
      </w:r>
      <w:r w:rsidR="003257A5">
        <w:rPr>
          <w:sz w:val="24"/>
        </w:rPr>
        <w:t xml:space="preserve">R.H. </w:t>
      </w:r>
      <w:proofErr w:type="spellStart"/>
      <w:r>
        <w:rPr>
          <w:sz w:val="24"/>
        </w:rPr>
        <w:t>Olsher</w:t>
      </w:r>
      <w:proofErr w:type="spellEnd"/>
      <w:r>
        <w:rPr>
          <w:sz w:val="24"/>
        </w:rPr>
        <w:t xml:space="preserve">, </w:t>
      </w:r>
      <w:r w:rsidR="003257A5">
        <w:rPr>
          <w:sz w:val="24"/>
        </w:rPr>
        <w:t xml:space="preserve">W.C. </w:t>
      </w:r>
      <w:r>
        <w:rPr>
          <w:sz w:val="24"/>
        </w:rPr>
        <w:t xml:space="preserve">Thurber, </w:t>
      </w:r>
      <w:r w:rsidR="003257A5">
        <w:rPr>
          <w:sz w:val="24"/>
        </w:rPr>
        <w:t xml:space="preserve">R.A. </w:t>
      </w:r>
      <w:r>
        <w:rPr>
          <w:sz w:val="24"/>
        </w:rPr>
        <w:t xml:space="preserve">Meck, Radiological Assessment for Clearance of Materials from Nuclear Facilities, NUREG-1640. United States Nuclear Regulatory Commission, </w:t>
      </w:r>
      <w:r>
        <w:rPr>
          <w:sz w:val="24"/>
        </w:rPr>
        <w:lastRenderedPageBreak/>
        <w:t>Washington, District of Columbia</w:t>
      </w:r>
      <w:r w:rsidR="003257A5">
        <w:rPr>
          <w:sz w:val="24"/>
        </w:rPr>
        <w:t>,</w:t>
      </w:r>
      <w:r w:rsidR="003257A5" w:rsidRPr="003257A5">
        <w:rPr>
          <w:sz w:val="24"/>
        </w:rPr>
        <w:t xml:space="preserve"> </w:t>
      </w:r>
      <w:r w:rsidR="003257A5">
        <w:rPr>
          <w:sz w:val="24"/>
        </w:rPr>
        <w:t>2003.</w:t>
      </w:r>
    </w:p>
    <w:p w14:paraId="1554D18A" w14:textId="240E8A9B" w:rsidR="00413DCB" w:rsidRDefault="000D07EC" w:rsidP="00085647">
      <w:pPr>
        <w:pStyle w:val="a9"/>
        <w:spacing w:after="0" w:line="480" w:lineRule="auto"/>
        <w:ind w:hanging="360"/>
        <w:jc w:val="left"/>
        <w:rPr>
          <w:sz w:val="24"/>
        </w:rPr>
      </w:pPr>
      <w:r>
        <w:rPr>
          <w:sz w:val="24"/>
        </w:rPr>
        <w:t xml:space="preserve">[15] </w:t>
      </w:r>
      <w:r w:rsidR="00085647">
        <w:rPr>
          <w:sz w:val="24"/>
        </w:rPr>
        <w:t xml:space="preserve">J.-J. </w:t>
      </w:r>
      <w:r>
        <w:rPr>
          <w:sz w:val="24"/>
        </w:rPr>
        <w:t xml:space="preserve">Cheng, </w:t>
      </w:r>
      <w:r w:rsidR="00085647">
        <w:rPr>
          <w:sz w:val="24"/>
        </w:rPr>
        <w:t xml:space="preserve">B. </w:t>
      </w:r>
      <w:r>
        <w:rPr>
          <w:sz w:val="24"/>
        </w:rPr>
        <w:t xml:space="preserve">Kassas, </w:t>
      </w:r>
      <w:r w:rsidR="00085647">
        <w:rPr>
          <w:sz w:val="24"/>
        </w:rPr>
        <w:t xml:space="preserve">C. </w:t>
      </w:r>
      <w:r>
        <w:rPr>
          <w:sz w:val="24"/>
        </w:rPr>
        <w:t xml:space="preserve">Yu, </w:t>
      </w:r>
      <w:r w:rsidR="00085647">
        <w:rPr>
          <w:sz w:val="24"/>
        </w:rPr>
        <w:t xml:space="preserve">D. </w:t>
      </w:r>
      <w:r>
        <w:rPr>
          <w:sz w:val="24"/>
        </w:rPr>
        <w:t xml:space="preserve">Lepoire, </w:t>
      </w:r>
      <w:r w:rsidR="00085647">
        <w:rPr>
          <w:sz w:val="24"/>
        </w:rPr>
        <w:t xml:space="preserve">J. </w:t>
      </w:r>
      <w:r>
        <w:rPr>
          <w:sz w:val="24"/>
        </w:rPr>
        <w:t xml:space="preserve">Arnish, </w:t>
      </w:r>
      <w:r w:rsidR="00085647">
        <w:rPr>
          <w:sz w:val="24"/>
        </w:rPr>
        <w:t xml:space="preserve">E.S. </w:t>
      </w:r>
      <w:r>
        <w:rPr>
          <w:sz w:val="24"/>
        </w:rPr>
        <w:t xml:space="preserve">Dovel, </w:t>
      </w:r>
      <w:r w:rsidR="00085647">
        <w:rPr>
          <w:sz w:val="24"/>
        </w:rPr>
        <w:t xml:space="preserve">S.-Y. </w:t>
      </w:r>
      <w:r>
        <w:rPr>
          <w:sz w:val="24"/>
        </w:rPr>
        <w:t xml:space="preserve">Chen, </w:t>
      </w:r>
      <w:r w:rsidR="00085647">
        <w:rPr>
          <w:sz w:val="24"/>
        </w:rPr>
        <w:t xml:space="preserve">W.A. </w:t>
      </w:r>
      <w:r>
        <w:rPr>
          <w:sz w:val="24"/>
        </w:rPr>
        <w:t xml:space="preserve">Williams, </w:t>
      </w:r>
      <w:r w:rsidR="00085647">
        <w:rPr>
          <w:sz w:val="24"/>
        </w:rPr>
        <w:t xml:space="preserve">A. </w:t>
      </w:r>
      <w:r>
        <w:rPr>
          <w:sz w:val="24"/>
        </w:rPr>
        <w:t xml:space="preserve">Wallo, </w:t>
      </w:r>
      <w:r w:rsidR="00085647">
        <w:rPr>
          <w:sz w:val="24"/>
        </w:rPr>
        <w:t xml:space="preserve">H. </w:t>
      </w:r>
      <w:r>
        <w:rPr>
          <w:sz w:val="24"/>
        </w:rPr>
        <w:t>Peterson, RESRAD-Recycle: A Computer Model for Analyzing the Radiological Doses and Risks Resulting from the Recycling of Radioactive Scrap Metal and the Reuse of Surface-Contaminated Material and Equipment, No. ANL/EAD-3. Argonne National Laboratory, Argonne, Illinois</w:t>
      </w:r>
      <w:r w:rsidR="00085647">
        <w:rPr>
          <w:sz w:val="24"/>
        </w:rPr>
        <w:t>,</w:t>
      </w:r>
      <w:r w:rsidR="00085647" w:rsidRPr="00085647">
        <w:rPr>
          <w:sz w:val="24"/>
        </w:rPr>
        <w:t xml:space="preserve"> </w:t>
      </w:r>
      <w:r w:rsidR="00085647">
        <w:rPr>
          <w:sz w:val="24"/>
        </w:rPr>
        <w:t>2001.</w:t>
      </w:r>
    </w:p>
    <w:p w14:paraId="788F053A" w14:textId="5A2174A6" w:rsidR="001251A1" w:rsidRDefault="000D07EC" w:rsidP="00413DCB">
      <w:pPr>
        <w:pStyle w:val="a9"/>
        <w:spacing w:after="0" w:line="480" w:lineRule="auto"/>
        <w:ind w:hanging="360"/>
        <w:jc w:val="left"/>
        <w:rPr>
          <w:sz w:val="24"/>
        </w:rPr>
      </w:pPr>
      <w:r>
        <w:rPr>
          <w:sz w:val="24"/>
        </w:rPr>
        <w:t xml:space="preserve">[16] </w:t>
      </w:r>
      <w:r w:rsidR="00AB46BC">
        <w:rPr>
          <w:sz w:val="24"/>
        </w:rPr>
        <w:t xml:space="preserve">K.F. </w:t>
      </w:r>
      <w:r>
        <w:rPr>
          <w:sz w:val="24"/>
        </w:rPr>
        <w:t xml:space="preserve">Eckerman, </w:t>
      </w:r>
      <w:r w:rsidR="00AB46BC">
        <w:rPr>
          <w:sz w:val="24"/>
        </w:rPr>
        <w:t xml:space="preserve">A.B. </w:t>
      </w:r>
      <w:proofErr w:type="spellStart"/>
      <w:r>
        <w:rPr>
          <w:sz w:val="24"/>
        </w:rPr>
        <w:t>Wolbarst</w:t>
      </w:r>
      <w:proofErr w:type="spellEnd"/>
      <w:r>
        <w:rPr>
          <w:sz w:val="24"/>
        </w:rPr>
        <w:t xml:space="preserve">, </w:t>
      </w:r>
      <w:r w:rsidR="00AB46BC">
        <w:rPr>
          <w:sz w:val="24"/>
        </w:rPr>
        <w:t xml:space="preserve">A.C. </w:t>
      </w:r>
      <w:proofErr w:type="gramStart"/>
      <w:r>
        <w:rPr>
          <w:sz w:val="24"/>
        </w:rPr>
        <w:t>Richardson,  Limiting</w:t>
      </w:r>
      <w:proofErr w:type="gramEnd"/>
      <w:r>
        <w:rPr>
          <w:sz w:val="24"/>
        </w:rPr>
        <w:t xml:space="preserve"> Values of Radionuclide Intake and Air Concentration and Dose Conversion Factors for Inhalation, Submersion, and Ingestion, Federal Guidance Report No. 11. Oak Ridge National Laboratory, Oak Ridge, Tennessee</w:t>
      </w:r>
      <w:r w:rsidR="00AB46BC">
        <w:rPr>
          <w:sz w:val="24"/>
        </w:rPr>
        <w:t>,</w:t>
      </w:r>
      <w:r w:rsidR="00AB46BC" w:rsidRPr="00AB46BC">
        <w:rPr>
          <w:sz w:val="24"/>
        </w:rPr>
        <w:t xml:space="preserve"> </w:t>
      </w:r>
      <w:r w:rsidR="00AB46BC">
        <w:rPr>
          <w:sz w:val="24"/>
        </w:rPr>
        <w:t>1988.</w:t>
      </w:r>
    </w:p>
    <w:p w14:paraId="7E3A21E6" w14:textId="7951E6B5" w:rsidR="001251A1" w:rsidRDefault="000D07EC" w:rsidP="001251A1">
      <w:pPr>
        <w:pStyle w:val="a9"/>
        <w:spacing w:after="0" w:line="480" w:lineRule="auto"/>
        <w:ind w:hanging="360"/>
        <w:jc w:val="left"/>
        <w:rPr>
          <w:sz w:val="24"/>
        </w:rPr>
      </w:pPr>
      <w:r>
        <w:rPr>
          <w:sz w:val="24"/>
        </w:rPr>
        <w:t xml:space="preserve">[17] </w:t>
      </w:r>
      <w:r w:rsidR="00AB46BC">
        <w:rPr>
          <w:sz w:val="24"/>
        </w:rPr>
        <w:t xml:space="preserve">K.F. </w:t>
      </w:r>
      <w:r>
        <w:rPr>
          <w:sz w:val="24"/>
        </w:rPr>
        <w:t xml:space="preserve">Eckerman, </w:t>
      </w:r>
      <w:r w:rsidR="00AB46BC">
        <w:rPr>
          <w:sz w:val="24"/>
        </w:rPr>
        <w:t xml:space="preserve">J.C. </w:t>
      </w:r>
      <w:proofErr w:type="gramStart"/>
      <w:r>
        <w:rPr>
          <w:sz w:val="24"/>
        </w:rPr>
        <w:t>Ryman,  External</w:t>
      </w:r>
      <w:proofErr w:type="gramEnd"/>
      <w:r>
        <w:rPr>
          <w:sz w:val="24"/>
        </w:rPr>
        <w:t xml:space="preserve"> Exposure to Radionuclides in Air, Water and Soil, Federal Guidance Report No. 12. Oak Ridge National Laboratory, Oak Ridge, Tennessee</w:t>
      </w:r>
      <w:r w:rsidR="00AB46BC">
        <w:rPr>
          <w:sz w:val="24"/>
        </w:rPr>
        <w:t>,</w:t>
      </w:r>
      <w:r w:rsidR="00AB46BC" w:rsidRPr="00AB46BC">
        <w:rPr>
          <w:sz w:val="24"/>
        </w:rPr>
        <w:t xml:space="preserve"> </w:t>
      </w:r>
      <w:r w:rsidR="00AB46BC">
        <w:rPr>
          <w:sz w:val="24"/>
        </w:rPr>
        <w:t>1993</w:t>
      </w:r>
      <w:r w:rsidR="00EC756D">
        <w:rPr>
          <w:sz w:val="24"/>
        </w:rPr>
        <w:t>.</w:t>
      </w:r>
    </w:p>
    <w:p w14:paraId="10B92645" w14:textId="6608FDD6" w:rsidR="001251A1" w:rsidRDefault="000D07EC" w:rsidP="001251A1">
      <w:pPr>
        <w:pStyle w:val="a9"/>
        <w:spacing w:after="0" w:line="480" w:lineRule="auto"/>
        <w:ind w:hanging="360"/>
        <w:jc w:val="left"/>
        <w:rPr>
          <w:sz w:val="24"/>
        </w:rPr>
      </w:pPr>
      <w:r>
        <w:rPr>
          <w:sz w:val="24"/>
        </w:rPr>
        <w:t xml:space="preserve">[18] </w:t>
      </w:r>
      <w:r w:rsidR="00EC756D">
        <w:rPr>
          <w:sz w:val="24"/>
        </w:rPr>
        <w:t xml:space="preserve">S. </w:t>
      </w:r>
      <w:r>
        <w:rPr>
          <w:sz w:val="24"/>
        </w:rPr>
        <w:t xml:space="preserve">Kamboj, </w:t>
      </w:r>
      <w:r w:rsidR="00EC756D">
        <w:rPr>
          <w:sz w:val="24"/>
        </w:rPr>
        <w:t xml:space="preserve">D. </w:t>
      </w:r>
      <w:r>
        <w:rPr>
          <w:sz w:val="24"/>
        </w:rPr>
        <w:t xml:space="preserve">LePoire, </w:t>
      </w:r>
      <w:r w:rsidR="00EC756D">
        <w:rPr>
          <w:sz w:val="24"/>
        </w:rPr>
        <w:t xml:space="preserve">C. </w:t>
      </w:r>
      <w:proofErr w:type="gramStart"/>
      <w:r>
        <w:rPr>
          <w:sz w:val="24"/>
        </w:rPr>
        <w:t xml:space="preserve">Yu, </w:t>
      </w:r>
      <w:r>
        <w:rPr>
          <w:rFonts w:ascii="Arial" w:eastAsia="Arial" w:hAnsi="Arial" w:cs="Arial"/>
          <w:color w:val="222222"/>
          <w:shd w:val="clear" w:color="auto" w:fill="FFFFFF"/>
        </w:rPr>
        <w:t xml:space="preserve"> </w:t>
      </w:r>
      <w:r>
        <w:rPr>
          <w:sz w:val="24"/>
        </w:rPr>
        <w:t>External</w:t>
      </w:r>
      <w:proofErr w:type="gramEnd"/>
      <w:r>
        <w:rPr>
          <w:sz w:val="24"/>
        </w:rPr>
        <w:t xml:space="preserve"> exposure model in the RESRAD computer code</w:t>
      </w:r>
      <w:r w:rsidR="007E2C30">
        <w:rPr>
          <w:sz w:val="24"/>
        </w:rPr>
        <w:t>,</w:t>
      </w:r>
      <w:r>
        <w:rPr>
          <w:sz w:val="24"/>
        </w:rPr>
        <w:t xml:space="preserve"> Health Phys. 82 </w:t>
      </w:r>
      <w:r w:rsidR="00EC756D">
        <w:rPr>
          <w:sz w:val="24"/>
        </w:rPr>
        <w:t xml:space="preserve">(2002) </w:t>
      </w:r>
      <w:r>
        <w:rPr>
          <w:sz w:val="24"/>
        </w:rPr>
        <w:t xml:space="preserve">831–839. </w:t>
      </w:r>
      <w:hyperlink r:id="rId15" w:history="1">
        <w:r w:rsidR="001251A1">
          <w:rPr>
            <w:rStyle w:val="a8"/>
            <w:sz w:val="24"/>
          </w:rPr>
          <w:t>https://doi.org/10.1097/00004032-200206000-00011</w:t>
        </w:r>
      </w:hyperlink>
      <w:r>
        <w:rPr>
          <w:sz w:val="24"/>
        </w:rPr>
        <w:t>.</w:t>
      </w:r>
    </w:p>
    <w:p w14:paraId="00339248" w14:textId="2AE87E30" w:rsidR="001251A1" w:rsidRDefault="000D07EC" w:rsidP="001251A1">
      <w:pPr>
        <w:pStyle w:val="a9"/>
        <w:spacing w:line="480" w:lineRule="auto"/>
        <w:ind w:hanging="360"/>
        <w:jc w:val="left"/>
        <w:rPr>
          <w:sz w:val="24"/>
        </w:rPr>
      </w:pPr>
      <w:r>
        <w:rPr>
          <w:sz w:val="24"/>
        </w:rPr>
        <w:t xml:space="preserve">[19] </w:t>
      </w:r>
      <w:r w:rsidR="00C95795">
        <w:rPr>
          <w:sz w:val="24"/>
        </w:rPr>
        <w:t xml:space="preserve">T. </w:t>
      </w:r>
      <w:r>
        <w:rPr>
          <w:sz w:val="24"/>
        </w:rPr>
        <w:t xml:space="preserve">Hrncir, </w:t>
      </w:r>
      <w:r w:rsidR="00C95795">
        <w:rPr>
          <w:sz w:val="24"/>
        </w:rPr>
        <w:t xml:space="preserve">M. </w:t>
      </w:r>
      <w:r>
        <w:rPr>
          <w:sz w:val="24"/>
        </w:rPr>
        <w:t xml:space="preserve">Panik, </w:t>
      </w:r>
      <w:r w:rsidR="00C95795">
        <w:rPr>
          <w:sz w:val="24"/>
        </w:rPr>
        <w:t xml:space="preserve">F. </w:t>
      </w:r>
      <w:r>
        <w:rPr>
          <w:sz w:val="24"/>
        </w:rPr>
        <w:t xml:space="preserve">Ondra, </w:t>
      </w:r>
      <w:r w:rsidR="001714E8">
        <w:rPr>
          <w:sz w:val="24"/>
        </w:rPr>
        <w:t xml:space="preserve">V. </w:t>
      </w:r>
      <w:r>
        <w:rPr>
          <w:sz w:val="24"/>
        </w:rPr>
        <w:t>Necas, The impact of radioactive steel recycling on the public and professionals</w:t>
      </w:r>
      <w:r w:rsidR="007E2C30">
        <w:rPr>
          <w:sz w:val="24"/>
        </w:rPr>
        <w:t>,</w:t>
      </w:r>
      <w:r>
        <w:rPr>
          <w:sz w:val="24"/>
        </w:rPr>
        <w:t xml:space="preserve"> J. Hazard. Mater. 254–255 </w:t>
      </w:r>
      <w:r w:rsidR="001714E8">
        <w:rPr>
          <w:sz w:val="24"/>
        </w:rPr>
        <w:t xml:space="preserve">(2013) </w:t>
      </w:r>
      <w:r>
        <w:rPr>
          <w:sz w:val="24"/>
        </w:rPr>
        <w:t xml:space="preserve">98–106. </w:t>
      </w:r>
      <w:hyperlink r:id="rId16" w:history="1">
        <w:r w:rsidR="001251A1">
          <w:rPr>
            <w:rStyle w:val="a8"/>
            <w:sz w:val="24"/>
          </w:rPr>
          <w:t>https://doi.org/10.1016/j.jhazmat.2013.03.038</w:t>
        </w:r>
      </w:hyperlink>
      <w:r>
        <w:rPr>
          <w:sz w:val="24"/>
        </w:rPr>
        <w:t xml:space="preserve">. </w:t>
      </w:r>
    </w:p>
    <w:p w14:paraId="557F726D" w14:textId="56045E3E" w:rsidR="001251A1" w:rsidRDefault="000D07EC" w:rsidP="001251A1">
      <w:pPr>
        <w:pStyle w:val="a9"/>
        <w:spacing w:line="480" w:lineRule="auto"/>
        <w:ind w:hanging="360"/>
        <w:jc w:val="left"/>
        <w:rPr>
          <w:sz w:val="24"/>
        </w:rPr>
      </w:pPr>
      <w:r>
        <w:rPr>
          <w:sz w:val="24"/>
        </w:rPr>
        <w:t xml:space="preserve">[20] Grove Software Inc., </w:t>
      </w:r>
      <w:proofErr w:type="spellStart"/>
      <w:r>
        <w:rPr>
          <w:sz w:val="24"/>
        </w:rPr>
        <w:t>MicroShield</w:t>
      </w:r>
      <w:proofErr w:type="spellEnd"/>
      <w:r>
        <w:rPr>
          <w:sz w:val="24"/>
        </w:rPr>
        <w:t xml:space="preserve">® User’s Manual. </w:t>
      </w:r>
      <w:hyperlink r:id="rId17" w:history="1">
        <w:r w:rsidR="001251A1">
          <w:rPr>
            <w:rStyle w:val="a8"/>
            <w:sz w:val="24"/>
          </w:rPr>
          <w:t>https://radiationsoftware.com/</w:t>
        </w:r>
      </w:hyperlink>
      <w:r>
        <w:rPr>
          <w:sz w:val="24"/>
        </w:rPr>
        <w:t xml:space="preserve"> (Accessed 22 April 2024).</w:t>
      </w:r>
    </w:p>
    <w:p w14:paraId="00A04CC4" w14:textId="4DF20F2E" w:rsidR="001251A1" w:rsidRDefault="000D07EC" w:rsidP="001251A1">
      <w:pPr>
        <w:pStyle w:val="a9"/>
        <w:spacing w:line="480" w:lineRule="auto"/>
        <w:ind w:hanging="360"/>
        <w:jc w:val="left"/>
        <w:rPr>
          <w:sz w:val="24"/>
        </w:rPr>
      </w:pPr>
      <w:r>
        <w:rPr>
          <w:sz w:val="24"/>
        </w:rPr>
        <w:t xml:space="preserve">[21] </w:t>
      </w:r>
      <w:r w:rsidR="001714E8">
        <w:rPr>
          <w:sz w:val="24"/>
        </w:rPr>
        <w:t xml:space="preserve">F. </w:t>
      </w:r>
      <w:r>
        <w:rPr>
          <w:sz w:val="24"/>
        </w:rPr>
        <w:t>Vermeersch, VISIPLAN, 3D ALARA planning tool, User’s guide. SCK Cen</w:t>
      </w:r>
      <w:r w:rsidR="007E2C30">
        <w:rPr>
          <w:sz w:val="24"/>
        </w:rPr>
        <w:t>,</w:t>
      </w:r>
      <w:r w:rsidR="001714E8" w:rsidRPr="001714E8">
        <w:rPr>
          <w:sz w:val="24"/>
        </w:rPr>
        <w:t xml:space="preserve"> </w:t>
      </w:r>
      <w:r w:rsidR="001714E8">
        <w:rPr>
          <w:sz w:val="24"/>
        </w:rPr>
        <w:t>2005.</w:t>
      </w:r>
    </w:p>
    <w:p w14:paraId="6DD27746" w14:textId="0EF1FEBE" w:rsidR="00432F68" w:rsidRDefault="000D07EC" w:rsidP="00432F68">
      <w:pPr>
        <w:pStyle w:val="a9"/>
        <w:spacing w:line="480" w:lineRule="auto"/>
        <w:ind w:hanging="360"/>
        <w:jc w:val="left"/>
        <w:rPr>
          <w:sz w:val="24"/>
        </w:rPr>
      </w:pPr>
      <w:r>
        <w:rPr>
          <w:sz w:val="24"/>
        </w:rPr>
        <w:t xml:space="preserve">[22] </w:t>
      </w:r>
      <w:r w:rsidR="001714E8">
        <w:rPr>
          <w:sz w:val="24"/>
        </w:rPr>
        <w:t xml:space="preserve">P.C. </w:t>
      </w:r>
      <w:r>
        <w:rPr>
          <w:sz w:val="24"/>
        </w:rPr>
        <w:t xml:space="preserve">Jackson, Age-dependent doses to members of the public from intake of </w:t>
      </w:r>
      <w:r>
        <w:rPr>
          <w:sz w:val="24"/>
        </w:rPr>
        <w:lastRenderedPageBreak/>
        <w:t>radionuclides: part 5 Compilation of ingestion and inhalation dose coefficients (ICRP Publication 72)</w:t>
      </w:r>
      <w:r w:rsidR="007E2C30">
        <w:rPr>
          <w:sz w:val="24"/>
        </w:rPr>
        <w:t>,</w:t>
      </w:r>
      <w:r>
        <w:rPr>
          <w:sz w:val="24"/>
        </w:rPr>
        <w:t xml:space="preserve"> Phys. Med. Biol. 41 </w:t>
      </w:r>
      <w:r w:rsidR="001714E8">
        <w:rPr>
          <w:sz w:val="24"/>
        </w:rPr>
        <w:t xml:space="preserve">(1996) </w:t>
      </w:r>
      <w:r>
        <w:rPr>
          <w:sz w:val="24"/>
        </w:rPr>
        <w:t xml:space="preserve">2807. </w:t>
      </w:r>
      <w:hyperlink r:id="rId18" w:history="1">
        <w:r w:rsidR="00432F68">
          <w:rPr>
            <w:rStyle w:val="a8"/>
            <w:sz w:val="24"/>
          </w:rPr>
          <w:t>https://doi.org/10.1088/0031-9155/41/12/017</w:t>
        </w:r>
      </w:hyperlink>
      <w:r>
        <w:rPr>
          <w:sz w:val="24"/>
        </w:rPr>
        <w:t>.</w:t>
      </w:r>
    </w:p>
    <w:p w14:paraId="087D4DD6" w14:textId="24F146C9" w:rsidR="001251A1" w:rsidRDefault="000D07EC" w:rsidP="00432F68">
      <w:pPr>
        <w:pStyle w:val="a9"/>
        <w:spacing w:after="0" w:line="480" w:lineRule="auto"/>
        <w:ind w:hanging="360"/>
        <w:jc w:val="left"/>
        <w:rPr>
          <w:sz w:val="24"/>
        </w:rPr>
      </w:pPr>
      <w:r>
        <w:rPr>
          <w:sz w:val="24"/>
        </w:rPr>
        <w:t xml:space="preserve">[23] </w:t>
      </w:r>
      <w:r w:rsidR="006C3FC6">
        <w:rPr>
          <w:sz w:val="24"/>
        </w:rPr>
        <w:t xml:space="preserve">K. </w:t>
      </w:r>
      <w:r>
        <w:rPr>
          <w:sz w:val="24"/>
        </w:rPr>
        <w:t xml:space="preserve">Eckerman, </w:t>
      </w:r>
      <w:r w:rsidR="006C3FC6">
        <w:rPr>
          <w:sz w:val="24"/>
        </w:rPr>
        <w:t xml:space="preserve">A. </w:t>
      </w:r>
      <w:r>
        <w:rPr>
          <w:sz w:val="24"/>
        </w:rPr>
        <w:t>Endo, ICRP, ICRP Publication 107</w:t>
      </w:r>
      <w:r w:rsidR="006C3FC6">
        <w:rPr>
          <w:sz w:val="24"/>
        </w:rPr>
        <w:t>,</w:t>
      </w:r>
      <w:r>
        <w:rPr>
          <w:sz w:val="24"/>
        </w:rPr>
        <w:t xml:space="preserve"> Nuclear decay data for </w:t>
      </w:r>
      <w:proofErr w:type="spellStart"/>
      <w:r>
        <w:rPr>
          <w:sz w:val="24"/>
        </w:rPr>
        <w:t>dosimetric</w:t>
      </w:r>
      <w:proofErr w:type="spellEnd"/>
      <w:r>
        <w:rPr>
          <w:sz w:val="24"/>
        </w:rPr>
        <w:t xml:space="preserve"> calculations</w:t>
      </w:r>
      <w:r w:rsidR="006C3FC6">
        <w:rPr>
          <w:sz w:val="24"/>
        </w:rPr>
        <w:t>,</w:t>
      </w:r>
      <w:r>
        <w:rPr>
          <w:sz w:val="24"/>
        </w:rPr>
        <w:t xml:space="preserve"> Ann. ICRP. 38 </w:t>
      </w:r>
      <w:r w:rsidR="006C3FC6">
        <w:rPr>
          <w:sz w:val="24"/>
        </w:rPr>
        <w:t xml:space="preserve">(2008) </w:t>
      </w:r>
      <w:r>
        <w:rPr>
          <w:sz w:val="24"/>
        </w:rPr>
        <w:t xml:space="preserve">7–96. </w:t>
      </w:r>
      <w:hyperlink r:id="rId19" w:history="1">
        <w:r w:rsidR="001251A1">
          <w:rPr>
            <w:rStyle w:val="a8"/>
            <w:sz w:val="24"/>
          </w:rPr>
          <w:t>https://doi.org/10.1016/j.icrp.2008.10.004</w:t>
        </w:r>
      </w:hyperlink>
      <w:r>
        <w:rPr>
          <w:sz w:val="24"/>
        </w:rPr>
        <w:t>.</w:t>
      </w:r>
    </w:p>
    <w:p w14:paraId="69F004E6" w14:textId="13DB431D" w:rsidR="00432F68" w:rsidRPr="005A6BEB" w:rsidRDefault="000D07EC" w:rsidP="005A6BEB">
      <w:pPr>
        <w:pStyle w:val="a9"/>
        <w:spacing w:after="0" w:line="480" w:lineRule="auto"/>
        <w:ind w:hanging="360"/>
        <w:jc w:val="left"/>
        <w:rPr>
          <w:sz w:val="24"/>
        </w:rPr>
      </w:pPr>
      <w:r>
        <w:rPr>
          <w:sz w:val="24"/>
        </w:rPr>
        <w:t xml:space="preserve">[24] </w:t>
      </w:r>
      <w:r w:rsidR="006C3FC6">
        <w:rPr>
          <w:sz w:val="24"/>
        </w:rPr>
        <w:t xml:space="preserve">N. </w:t>
      </w:r>
      <w:proofErr w:type="spellStart"/>
      <w:r>
        <w:rPr>
          <w:sz w:val="24"/>
        </w:rPr>
        <w:t>Petoussi</w:t>
      </w:r>
      <w:proofErr w:type="spellEnd"/>
      <w:r>
        <w:rPr>
          <w:sz w:val="24"/>
        </w:rPr>
        <w:t xml:space="preserve">-Henss, </w:t>
      </w:r>
      <w:r w:rsidR="006C3FC6">
        <w:rPr>
          <w:sz w:val="24"/>
        </w:rPr>
        <w:t xml:space="preserve">W.E. </w:t>
      </w:r>
      <w:r>
        <w:rPr>
          <w:sz w:val="24"/>
        </w:rPr>
        <w:t xml:space="preserve">Bolch, </w:t>
      </w:r>
      <w:r w:rsidR="006C3FC6">
        <w:rPr>
          <w:sz w:val="24"/>
        </w:rPr>
        <w:t xml:space="preserve">K.F. </w:t>
      </w:r>
      <w:r>
        <w:rPr>
          <w:sz w:val="24"/>
        </w:rPr>
        <w:t xml:space="preserve">Eckerman, </w:t>
      </w:r>
      <w:r w:rsidR="006C3FC6">
        <w:rPr>
          <w:sz w:val="24"/>
        </w:rPr>
        <w:t xml:space="preserve">A. </w:t>
      </w:r>
      <w:r>
        <w:rPr>
          <w:sz w:val="24"/>
        </w:rPr>
        <w:t xml:space="preserve">Endo, </w:t>
      </w:r>
      <w:r w:rsidR="006C3FC6">
        <w:rPr>
          <w:sz w:val="24"/>
        </w:rPr>
        <w:t xml:space="preserve">N. </w:t>
      </w:r>
      <w:r>
        <w:rPr>
          <w:sz w:val="24"/>
        </w:rPr>
        <w:t xml:space="preserve">Hertel, </w:t>
      </w:r>
      <w:r w:rsidR="006C3FC6">
        <w:rPr>
          <w:sz w:val="24"/>
        </w:rPr>
        <w:t xml:space="preserve">J. </w:t>
      </w:r>
      <w:r>
        <w:rPr>
          <w:sz w:val="24"/>
        </w:rPr>
        <w:t xml:space="preserve">Hunt, </w:t>
      </w:r>
      <w:r w:rsidR="006C3FC6">
        <w:rPr>
          <w:sz w:val="24"/>
        </w:rPr>
        <w:t xml:space="preserve">M. </w:t>
      </w:r>
      <w:proofErr w:type="spellStart"/>
      <w:r>
        <w:rPr>
          <w:sz w:val="24"/>
        </w:rPr>
        <w:t>Pelliccioni</w:t>
      </w:r>
      <w:proofErr w:type="spellEnd"/>
      <w:r>
        <w:rPr>
          <w:sz w:val="24"/>
        </w:rPr>
        <w:t xml:space="preserve">, </w:t>
      </w:r>
      <w:r w:rsidR="006C3FC6">
        <w:rPr>
          <w:sz w:val="24"/>
        </w:rPr>
        <w:t xml:space="preserve">H. </w:t>
      </w:r>
      <w:proofErr w:type="spellStart"/>
      <w:r>
        <w:rPr>
          <w:sz w:val="24"/>
        </w:rPr>
        <w:t>Schlattl</w:t>
      </w:r>
      <w:proofErr w:type="spellEnd"/>
      <w:r>
        <w:rPr>
          <w:sz w:val="24"/>
        </w:rPr>
        <w:t xml:space="preserve">, </w:t>
      </w:r>
      <w:r w:rsidR="006C3FC6">
        <w:rPr>
          <w:sz w:val="24"/>
        </w:rPr>
        <w:t xml:space="preserve">M. </w:t>
      </w:r>
      <w:proofErr w:type="gramStart"/>
      <w:r>
        <w:rPr>
          <w:sz w:val="24"/>
        </w:rPr>
        <w:t>Zankl,  Conversion</w:t>
      </w:r>
      <w:proofErr w:type="gramEnd"/>
      <w:r>
        <w:rPr>
          <w:sz w:val="24"/>
        </w:rPr>
        <w:t xml:space="preserve"> coefficients for radiological protection quantities for external radiation exposures</w:t>
      </w:r>
      <w:r w:rsidR="007E2C30">
        <w:rPr>
          <w:sz w:val="24"/>
        </w:rPr>
        <w:t>,</w:t>
      </w:r>
      <w:r>
        <w:rPr>
          <w:sz w:val="24"/>
        </w:rPr>
        <w:t xml:space="preserve"> Ann. ICRP. 40 </w:t>
      </w:r>
      <w:r w:rsidR="00CF7C84">
        <w:rPr>
          <w:sz w:val="24"/>
        </w:rPr>
        <w:t xml:space="preserve">(2010) </w:t>
      </w:r>
      <w:r>
        <w:rPr>
          <w:sz w:val="24"/>
        </w:rPr>
        <w:t>1–257.</w:t>
      </w:r>
      <w:r w:rsidR="005A6BEB" w:rsidRPr="005A6BEB">
        <w:t xml:space="preserve"> </w:t>
      </w:r>
      <w:hyperlink r:id="rId20" w:history="1">
        <w:r w:rsidR="005A6BEB">
          <w:rPr>
            <w:rStyle w:val="a8"/>
            <w:sz w:val="24"/>
          </w:rPr>
          <w:t>https://doi.org/10.1016/j.icrp.2011.10.001</w:t>
        </w:r>
      </w:hyperlink>
      <w:r w:rsidR="005A6BEB">
        <w:rPr>
          <w:sz w:val="24"/>
        </w:rPr>
        <w:t xml:space="preserve">.  </w:t>
      </w:r>
    </w:p>
    <w:p w14:paraId="5DD3D7FA" w14:textId="29EBFB8F" w:rsidR="001251A1" w:rsidRDefault="000D07EC" w:rsidP="001251A1">
      <w:pPr>
        <w:pStyle w:val="a9"/>
        <w:spacing w:after="0" w:line="480" w:lineRule="auto"/>
        <w:ind w:hanging="360"/>
        <w:jc w:val="left"/>
        <w:rPr>
          <w:sz w:val="24"/>
        </w:rPr>
      </w:pPr>
      <w:r>
        <w:rPr>
          <w:sz w:val="24"/>
        </w:rPr>
        <w:t xml:space="preserve">[25] </w:t>
      </w:r>
      <w:r w:rsidR="00A12A32">
        <w:rPr>
          <w:sz w:val="24"/>
        </w:rPr>
        <w:t xml:space="preserve">H. </w:t>
      </w:r>
      <w:proofErr w:type="gramStart"/>
      <w:r>
        <w:rPr>
          <w:sz w:val="24"/>
        </w:rPr>
        <w:t>Bateman,  The</w:t>
      </w:r>
      <w:proofErr w:type="gramEnd"/>
      <w:r>
        <w:rPr>
          <w:sz w:val="24"/>
        </w:rPr>
        <w:t xml:space="preserve"> solution of a system of differential equations occurring in the theory of radioactive transformations, in: Proc. Camb. Philos. Soc. 15, </w:t>
      </w:r>
      <w:r w:rsidR="00A12A32">
        <w:rPr>
          <w:sz w:val="24"/>
        </w:rPr>
        <w:t xml:space="preserve">1910, pp. </w:t>
      </w:r>
      <w:r>
        <w:rPr>
          <w:sz w:val="24"/>
        </w:rPr>
        <w:t>423–427.</w:t>
      </w:r>
      <w:r>
        <w:rPr>
          <w:rFonts w:ascii="Calibri" w:eastAsia="Calibri" w:hAnsi="Calibri" w:cs="Calibri"/>
          <w:sz w:val="22"/>
        </w:rPr>
        <w:t xml:space="preserve"> </w:t>
      </w:r>
      <w:hyperlink r:id="rId21" w:history="1">
        <w:r w:rsidR="001251A1">
          <w:rPr>
            <w:rStyle w:val="a8"/>
            <w:sz w:val="24"/>
          </w:rPr>
          <w:t>https://doi.org/10.1093/ww/9780199540884.013.u176787</w:t>
        </w:r>
      </w:hyperlink>
      <w:r>
        <w:rPr>
          <w:sz w:val="24"/>
        </w:rPr>
        <w:t>.</w:t>
      </w:r>
    </w:p>
    <w:p w14:paraId="3B2D1089" w14:textId="52A0D3D8" w:rsidR="001251A1" w:rsidRDefault="000D07EC" w:rsidP="001251A1">
      <w:pPr>
        <w:pStyle w:val="a9"/>
        <w:spacing w:after="0" w:line="480" w:lineRule="auto"/>
        <w:ind w:hanging="360"/>
        <w:jc w:val="left"/>
        <w:rPr>
          <w:sz w:val="24"/>
        </w:rPr>
      </w:pPr>
      <w:r>
        <w:rPr>
          <w:sz w:val="24"/>
        </w:rPr>
        <w:t xml:space="preserve">[26] </w:t>
      </w:r>
      <w:r w:rsidR="00A12A32">
        <w:rPr>
          <w:sz w:val="24"/>
        </w:rPr>
        <w:t xml:space="preserve">R.G. </w:t>
      </w:r>
      <w:r>
        <w:rPr>
          <w:sz w:val="24"/>
        </w:rPr>
        <w:t xml:space="preserve">Jaeger, Engineering </w:t>
      </w:r>
      <w:r w:rsidR="00A12A32">
        <w:rPr>
          <w:sz w:val="24"/>
        </w:rPr>
        <w:t>C</w:t>
      </w:r>
      <w:r>
        <w:rPr>
          <w:sz w:val="24"/>
        </w:rPr>
        <w:t xml:space="preserve">ompendium on </w:t>
      </w:r>
      <w:r w:rsidR="00A12A32">
        <w:rPr>
          <w:sz w:val="24"/>
        </w:rPr>
        <w:t>R</w:t>
      </w:r>
      <w:r>
        <w:rPr>
          <w:sz w:val="24"/>
        </w:rPr>
        <w:t xml:space="preserve">adiation </w:t>
      </w:r>
      <w:r w:rsidR="00A12A32">
        <w:rPr>
          <w:sz w:val="24"/>
        </w:rPr>
        <w:t>S</w:t>
      </w:r>
      <w:r>
        <w:rPr>
          <w:sz w:val="24"/>
        </w:rPr>
        <w:t>hielding: Volume I: Shielding Fundamentals and Methods</w:t>
      </w:r>
      <w:r w:rsidR="007E2C30">
        <w:rPr>
          <w:sz w:val="24"/>
        </w:rPr>
        <w:t>,</w:t>
      </w:r>
      <w:r>
        <w:rPr>
          <w:sz w:val="24"/>
        </w:rPr>
        <w:t xml:space="preserve"> Springer Science &amp; Business Media, 2013.</w:t>
      </w:r>
    </w:p>
    <w:p w14:paraId="6F4BB099" w14:textId="54B34EA5" w:rsidR="001251A1" w:rsidRDefault="000D07EC" w:rsidP="007A68CB">
      <w:pPr>
        <w:pStyle w:val="a9"/>
        <w:spacing w:after="0" w:line="480" w:lineRule="auto"/>
        <w:ind w:hanging="360"/>
        <w:jc w:val="left"/>
        <w:rPr>
          <w:sz w:val="24"/>
        </w:rPr>
      </w:pPr>
      <w:r>
        <w:rPr>
          <w:sz w:val="24"/>
        </w:rPr>
        <w:t xml:space="preserve">[27] </w:t>
      </w:r>
      <w:r w:rsidR="007A68CB">
        <w:rPr>
          <w:sz w:val="24"/>
        </w:rPr>
        <w:t xml:space="preserve">R.L. </w:t>
      </w:r>
      <w:r>
        <w:rPr>
          <w:sz w:val="24"/>
        </w:rPr>
        <w:t xml:space="preserve">Iman, </w:t>
      </w:r>
      <w:r w:rsidR="007A68CB">
        <w:rPr>
          <w:sz w:val="24"/>
        </w:rPr>
        <w:t xml:space="preserve">M.J. </w:t>
      </w:r>
      <w:proofErr w:type="spellStart"/>
      <w:r>
        <w:rPr>
          <w:sz w:val="24"/>
        </w:rPr>
        <w:t>Shortencarier</w:t>
      </w:r>
      <w:proofErr w:type="spellEnd"/>
      <w:r>
        <w:rPr>
          <w:sz w:val="24"/>
        </w:rPr>
        <w:t>, FORTRAN 77 Program and User's Guide for the Generation of Latin Hypercube and Random Samples for Use with Computer Models (No. NUREG/CR-3624; SAND-83-2365)</w:t>
      </w:r>
      <w:r w:rsidR="007E2C30">
        <w:rPr>
          <w:sz w:val="24"/>
        </w:rPr>
        <w:t>,</w:t>
      </w:r>
      <w:r>
        <w:rPr>
          <w:sz w:val="24"/>
        </w:rPr>
        <w:t xml:space="preserve"> Sandia National Laboratories (SNL-NM). Albuquerque, New Mexico</w:t>
      </w:r>
      <w:r w:rsidR="007A68CB">
        <w:rPr>
          <w:sz w:val="24"/>
        </w:rPr>
        <w:t>,</w:t>
      </w:r>
      <w:r w:rsidR="007A68CB" w:rsidRPr="007A68CB">
        <w:rPr>
          <w:sz w:val="24"/>
        </w:rPr>
        <w:t xml:space="preserve"> </w:t>
      </w:r>
      <w:r w:rsidR="007A68CB">
        <w:rPr>
          <w:sz w:val="24"/>
        </w:rPr>
        <w:t>1984.</w:t>
      </w:r>
    </w:p>
    <w:p w14:paraId="6CAFCD31" w14:textId="239E1313" w:rsidR="001251A1" w:rsidRPr="00432F68" w:rsidRDefault="000D07EC" w:rsidP="00432F68">
      <w:pPr>
        <w:pStyle w:val="a9"/>
        <w:spacing w:after="0" w:line="480" w:lineRule="auto"/>
        <w:ind w:hanging="360"/>
        <w:jc w:val="left"/>
        <w:rPr>
          <w:sz w:val="24"/>
        </w:rPr>
      </w:pPr>
      <w:r>
        <w:rPr>
          <w:sz w:val="24"/>
        </w:rPr>
        <w:t>[28] ICRP (International Commission on Radiological Protection), Data for Use in Protection against External Radiation. ICRP Publication 51</w:t>
      </w:r>
      <w:r w:rsidR="007E2C30">
        <w:rPr>
          <w:sz w:val="24"/>
        </w:rPr>
        <w:t>,</w:t>
      </w:r>
      <w:r>
        <w:rPr>
          <w:sz w:val="24"/>
        </w:rPr>
        <w:t xml:space="preserve"> International Commission on Radiological Protection</w:t>
      </w:r>
      <w:r w:rsidR="002912A1">
        <w:rPr>
          <w:sz w:val="24"/>
        </w:rPr>
        <w:t>,</w:t>
      </w:r>
      <w:r w:rsidR="002912A1" w:rsidRPr="002912A1">
        <w:rPr>
          <w:sz w:val="24"/>
        </w:rPr>
        <w:t xml:space="preserve"> </w:t>
      </w:r>
      <w:r w:rsidR="002912A1">
        <w:rPr>
          <w:sz w:val="24"/>
        </w:rPr>
        <w:t>1987.</w:t>
      </w:r>
    </w:p>
    <w:p w14:paraId="4633E3ED" w14:textId="54221E12" w:rsidR="001251A1" w:rsidRPr="001251A1" w:rsidRDefault="000D07EC" w:rsidP="002912A1">
      <w:pPr>
        <w:pStyle w:val="a9"/>
        <w:spacing w:after="0" w:line="480" w:lineRule="auto"/>
        <w:ind w:hanging="360"/>
        <w:jc w:val="left"/>
        <w:rPr>
          <w:sz w:val="24"/>
        </w:rPr>
      </w:pPr>
      <w:r>
        <w:rPr>
          <w:sz w:val="24"/>
        </w:rPr>
        <w:t>[29] ICRP (International Commission on Radiological Protection), Radionuclide Transformations - Energy and Intensity of Emissions</w:t>
      </w:r>
      <w:r w:rsidR="007E2C30">
        <w:rPr>
          <w:sz w:val="24"/>
        </w:rPr>
        <w:t>,</w:t>
      </w:r>
      <w:r>
        <w:rPr>
          <w:sz w:val="24"/>
        </w:rPr>
        <w:t xml:space="preserve"> ICRP Publication 38</w:t>
      </w:r>
      <w:r w:rsidR="00CF7C84">
        <w:rPr>
          <w:sz w:val="24"/>
        </w:rPr>
        <w:t>,</w:t>
      </w:r>
      <w:r>
        <w:rPr>
          <w:sz w:val="24"/>
        </w:rPr>
        <w:t xml:space="preserve"> International </w:t>
      </w:r>
      <w:r>
        <w:rPr>
          <w:sz w:val="24"/>
        </w:rPr>
        <w:lastRenderedPageBreak/>
        <w:t>Commission on Radiological Protection</w:t>
      </w:r>
      <w:r w:rsidR="002912A1">
        <w:rPr>
          <w:sz w:val="24"/>
        </w:rPr>
        <w:t>,</w:t>
      </w:r>
      <w:r w:rsidR="002912A1" w:rsidRPr="002912A1">
        <w:rPr>
          <w:sz w:val="24"/>
        </w:rPr>
        <w:t xml:space="preserve"> </w:t>
      </w:r>
      <w:r w:rsidR="002912A1">
        <w:rPr>
          <w:sz w:val="24"/>
        </w:rPr>
        <w:t>1983.</w:t>
      </w:r>
    </w:p>
    <w:p w14:paraId="7DF691BA" w14:textId="6A6B17BB" w:rsidR="001251A1" w:rsidRDefault="000D07EC" w:rsidP="001251A1">
      <w:pPr>
        <w:pStyle w:val="a9"/>
        <w:spacing w:after="0" w:line="480" w:lineRule="auto"/>
        <w:ind w:hanging="360"/>
        <w:jc w:val="left"/>
        <w:rPr>
          <w:sz w:val="24"/>
        </w:rPr>
      </w:pPr>
      <w:r>
        <w:rPr>
          <w:sz w:val="24"/>
        </w:rPr>
        <w:t>[30] ANS (American Nuclear Society), Gamma-ray attenuation coefficients and buildup factors for engineering materials, ANSI/ANS-6.4.3-1991</w:t>
      </w:r>
      <w:r w:rsidR="007E2C30">
        <w:rPr>
          <w:sz w:val="24"/>
        </w:rPr>
        <w:t>,</w:t>
      </w:r>
      <w:r>
        <w:rPr>
          <w:sz w:val="24"/>
        </w:rPr>
        <w:t xml:space="preserve"> American Nuclear Society</w:t>
      </w:r>
      <w:r w:rsidR="002912A1">
        <w:rPr>
          <w:sz w:val="24"/>
        </w:rPr>
        <w:t>,</w:t>
      </w:r>
      <w:r w:rsidR="002912A1" w:rsidRPr="002912A1">
        <w:rPr>
          <w:sz w:val="24"/>
        </w:rPr>
        <w:t xml:space="preserve"> </w:t>
      </w:r>
      <w:r w:rsidR="002912A1">
        <w:rPr>
          <w:sz w:val="24"/>
        </w:rPr>
        <w:t>1991.</w:t>
      </w:r>
    </w:p>
    <w:p w14:paraId="1B9E13A3" w14:textId="3BD98008" w:rsidR="001251A1" w:rsidRDefault="000D07EC" w:rsidP="001251A1">
      <w:pPr>
        <w:pStyle w:val="a9"/>
        <w:spacing w:after="0" w:line="480" w:lineRule="auto"/>
        <w:ind w:hanging="360"/>
        <w:jc w:val="left"/>
        <w:rPr>
          <w:sz w:val="24"/>
        </w:rPr>
      </w:pPr>
      <w:r>
        <w:rPr>
          <w:sz w:val="24"/>
        </w:rPr>
        <w:t xml:space="preserve">[31] </w:t>
      </w:r>
      <w:r w:rsidR="002912A1">
        <w:rPr>
          <w:sz w:val="24"/>
        </w:rPr>
        <w:t xml:space="preserve">Y. </w:t>
      </w:r>
      <w:proofErr w:type="gramStart"/>
      <w:r>
        <w:rPr>
          <w:sz w:val="24"/>
        </w:rPr>
        <w:t>Harima,  An</w:t>
      </w:r>
      <w:proofErr w:type="gramEnd"/>
      <w:r>
        <w:rPr>
          <w:sz w:val="24"/>
        </w:rPr>
        <w:t xml:space="preserve"> approximation of gamma-ray buildup factors by modified geometrical progression</w:t>
      </w:r>
      <w:r w:rsidR="007E2C30">
        <w:rPr>
          <w:sz w:val="24"/>
        </w:rPr>
        <w:t>,</w:t>
      </w:r>
      <w:r>
        <w:rPr>
          <w:sz w:val="24"/>
        </w:rPr>
        <w:t xml:space="preserve"> </w:t>
      </w:r>
      <w:proofErr w:type="spellStart"/>
      <w:r>
        <w:rPr>
          <w:sz w:val="24"/>
        </w:rPr>
        <w:t>Nucl</w:t>
      </w:r>
      <w:proofErr w:type="spellEnd"/>
      <w:r>
        <w:rPr>
          <w:sz w:val="24"/>
        </w:rPr>
        <w:t xml:space="preserve">. Sci. Eng. 83 </w:t>
      </w:r>
      <w:r w:rsidR="002912A1">
        <w:rPr>
          <w:sz w:val="24"/>
        </w:rPr>
        <w:t xml:space="preserve">(1983) </w:t>
      </w:r>
      <w:r>
        <w:rPr>
          <w:sz w:val="24"/>
        </w:rPr>
        <w:t xml:space="preserve">299–309. </w:t>
      </w:r>
      <w:hyperlink r:id="rId22" w:history="1">
        <w:r w:rsidR="001251A1">
          <w:rPr>
            <w:rStyle w:val="a8"/>
            <w:sz w:val="24"/>
          </w:rPr>
          <w:t>https://doi.org/10.13182/NSE83-A18222</w:t>
        </w:r>
      </w:hyperlink>
      <w:r>
        <w:rPr>
          <w:sz w:val="24"/>
        </w:rPr>
        <w:t>.</w:t>
      </w:r>
    </w:p>
    <w:p w14:paraId="6414D239" w14:textId="7E37AC57" w:rsidR="001251A1" w:rsidRDefault="000D07EC" w:rsidP="001251A1">
      <w:pPr>
        <w:pStyle w:val="a9"/>
        <w:spacing w:after="0" w:line="480" w:lineRule="auto"/>
        <w:ind w:hanging="360"/>
        <w:jc w:val="left"/>
        <w:rPr>
          <w:sz w:val="24"/>
        </w:rPr>
      </w:pPr>
      <w:proofErr w:type="gramStart"/>
      <w:r>
        <w:rPr>
          <w:sz w:val="24"/>
        </w:rPr>
        <w:t xml:space="preserve">[32] </w:t>
      </w:r>
      <w:r w:rsidR="00DB7503">
        <w:rPr>
          <w:sz w:val="24"/>
        </w:rPr>
        <w:t>M</w:t>
      </w:r>
      <w:proofErr w:type="gramEnd"/>
      <w:r w:rsidR="00DB7503">
        <w:rPr>
          <w:sz w:val="24"/>
        </w:rPr>
        <w:t xml:space="preserve">.H. </w:t>
      </w:r>
      <w:proofErr w:type="gramStart"/>
      <w:r>
        <w:rPr>
          <w:sz w:val="24"/>
        </w:rPr>
        <w:t>Kalos,  A</w:t>
      </w:r>
      <w:proofErr w:type="gramEnd"/>
      <w:r>
        <w:rPr>
          <w:sz w:val="24"/>
        </w:rPr>
        <w:t xml:space="preserve"> Monte Carlo Calculation of the Transport of Gamma Rays (No. NDA-56-7)</w:t>
      </w:r>
      <w:r w:rsidR="00CF7C84">
        <w:rPr>
          <w:sz w:val="24"/>
        </w:rPr>
        <w:t>,</w:t>
      </w:r>
      <w:r>
        <w:rPr>
          <w:sz w:val="24"/>
        </w:rPr>
        <w:t xml:space="preserve"> Nuclear Development Corporation of America</w:t>
      </w:r>
      <w:r w:rsidR="00DB7503">
        <w:rPr>
          <w:sz w:val="24"/>
        </w:rPr>
        <w:t>,</w:t>
      </w:r>
      <w:r w:rsidR="00DB7503" w:rsidRPr="00DB7503">
        <w:rPr>
          <w:sz w:val="24"/>
        </w:rPr>
        <w:t xml:space="preserve"> </w:t>
      </w:r>
      <w:r w:rsidR="00DB7503">
        <w:rPr>
          <w:sz w:val="24"/>
        </w:rPr>
        <w:t>1956.</w:t>
      </w:r>
    </w:p>
    <w:p w14:paraId="61E1D9FA" w14:textId="0CF9743E" w:rsidR="00432F68" w:rsidRDefault="000D07EC" w:rsidP="00432F68">
      <w:pPr>
        <w:pStyle w:val="a9"/>
        <w:spacing w:after="0" w:line="480" w:lineRule="auto"/>
        <w:ind w:hanging="360"/>
        <w:jc w:val="left"/>
        <w:rPr>
          <w:sz w:val="24"/>
        </w:rPr>
      </w:pPr>
      <w:r>
        <w:rPr>
          <w:sz w:val="24"/>
        </w:rPr>
        <w:t xml:space="preserve">[33] </w:t>
      </w:r>
      <w:r w:rsidR="00DB7503">
        <w:rPr>
          <w:sz w:val="24"/>
        </w:rPr>
        <w:t xml:space="preserve">U.T. </w:t>
      </w:r>
      <w:r>
        <w:rPr>
          <w:sz w:val="24"/>
        </w:rPr>
        <w:t xml:space="preserve">Lin, </w:t>
      </w:r>
      <w:r w:rsidR="00DB7503">
        <w:rPr>
          <w:sz w:val="24"/>
        </w:rPr>
        <w:t xml:space="preserve">S.H. </w:t>
      </w:r>
      <w:r>
        <w:rPr>
          <w:sz w:val="24"/>
        </w:rPr>
        <w:t>Jiang, A dedicated empirical formula for γ-ray buildup factors for a point isotropic source in stratified shields</w:t>
      </w:r>
      <w:r w:rsidR="007E2C30">
        <w:rPr>
          <w:sz w:val="24"/>
        </w:rPr>
        <w:t>,</w:t>
      </w:r>
      <w:r>
        <w:rPr>
          <w:sz w:val="24"/>
        </w:rPr>
        <w:t xml:space="preserve"> </w:t>
      </w:r>
      <w:proofErr w:type="spellStart"/>
      <w:r>
        <w:rPr>
          <w:sz w:val="24"/>
        </w:rPr>
        <w:t>Radiat</w:t>
      </w:r>
      <w:proofErr w:type="spellEnd"/>
      <w:r>
        <w:rPr>
          <w:sz w:val="24"/>
        </w:rPr>
        <w:t xml:space="preserve">. Phys. Chem. 48 </w:t>
      </w:r>
      <w:r w:rsidR="00DB7503">
        <w:rPr>
          <w:sz w:val="24"/>
        </w:rPr>
        <w:t xml:space="preserve">(1996) </w:t>
      </w:r>
      <w:r>
        <w:rPr>
          <w:sz w:val="24"/>
        </w:rPr>
        <w:t xml:space="preserve">389–401. </w:t>
      </w:r>
      <w:hyperlink r:id="rId23" w:history="1">
        <w:r w:rsidR="00432F68">
          <w:rPr>
            <w:rStyle w:val="a8"/>
            <w:sz w:val="24"/>
          </w:rPr>
          <w:t>https://doi.org/10.1016/0969-806X(95)00461-6</w:t>
        </w:r>
      </w:hyperlink>
      <w:r>
        <w:rPr>
          <w:sz w:val="24"/>
        </w:rPr>
        <w:t>.</w:t>
      </w:r>
    </w:p>
    <w:p w14:paraId="2F79DDE7" w14:textId="0F21100B" w:rsidR="00432F68" w:rsidRDefault="000D07EC" w:rsidP="001251A1">
      <w:pPr>
        <w:pStyle w:val="a9"/>
        <w:spacing w:after="0" w:line="480" w:lineRule="auto"/>
        <w:ind w:hanging="360"/>
        <w:jc w:val="left"/>
        <w:rPr>
          <w:sz w:val="24"/>
        </w:rPr>
      </w:pPr>
      <w:r>
        <w:rPr>
          <w:sz w:val="24"/>
        </w:rPr>
        <w:t>[3</w:t>
      </w:r>
      <w:r w:rsidR="00765311">
        <w:rPr>
          <w:sz w:val="24"/>
        </w:rPr>
        <w:t>4</w:t>
      </w:r>
      <w:r>
        <w:rPr>
          <w:sz w:val="24"/>
        </w:rPr>
        <w:t xml:space="preserve">] </w:t>
      </w:r>
      <w:r w:rsidR="007E2C30">
        <w:rPr>
          <w:sz w:val="24"/>
        </w:rPr>
        <w:t xml:space="preserve">S. </w:t>
      </w:r>
      <w:r>
        <w:rPr>
          <w:sz w:val="24"/>
        </w:rPr>
        <w:t xml:space="preserve">Menon, </w:t>
      </w:r>
      <w:r w:rsidR="007E2C30">
        <w:rPr>
          <w:sz w:val="24"/>
        </w:rPr>
        <w:t xml:space="preserve">C. </w:t>
      </w:r>
      <w:r>
        <w:rPr>
          <w:sz w:val="24"/>
        </w:rPr>
        <w:t xml:space="preserve">Brun-Yaba, </w:t>
      </w:r>
      <w:r w:rsidR="007E2C30">
        <w:rPr>
          <w:sz w:val="24"/>
        </w:rPr>
        <w:t xml:space="preserve">C. </w:t>
      </w:r>
      <w:r>
        <w:rPr>
          <w:sz w:val="24"/>
        </w:rPr>
        <w:t xml:space="preserve">Yu, </w:t>
      </w:r>
      <w:r w:rsidR="007E2C30">
        <w:rPr>
          <w:sz w:val="24"/>
        </w:rPr>
        <w:t xml:space="preserve">J.-J. </w:t>
      </w:r>
      <w:r>
        <w:rPr>
          <w:sz w:val="24"/>
        </w:rPr>
        <w:t xml:space="preserve">Cheng, </w:t>
      </w:r>
      <w:r w:rsidR="007E2C30">
        <w:rPr>
          <w:sz w:val="24"/>
        </w:rPr>
        <w:t xml:space="preserve">J. </w:t>
      </w:r>
      <w:proofErr w:type="spellStart"/>
      <w:r>
        <w:rPr>
          <w:sz w:val="24"/>
        </w:rPr>
        <w:t>Bjerler</w:t>
      </w:r>
      <w:proofErr w:type="spellEnd"/>
      <w:r>
        <w:rPr>
          <w:sz w:val="24"/>
        </w:rPr>
        <w:t xml:space="preserve">, </w:t>
      </w:r>
      <w:r w:rsidR="007E2C30">
        <w:rPr>
          <w:sz w:val="24"/>
        </w:rPr>
        <w:t xml:space="preserve">A. </w:t>
      </w:r>
      <w:proofErr w:type="gramStart"/>
      <w:r>
        <w:rPr>
          <w:sz w:val="24"/>
        </w:rPr>
        <w:t>Williams,  Validation</w:t>
      </w:r>
      <w:proofErr w:type="gramEnd"/>
      <w:r>
        <w:rPr>
          <w:sz w:val="24"/>
        </w:rPr>
        <w:t xml:space="preserve"> of Dose Calculation </w:t>
      </w:r>
      <w:proofErr w:type="spellStart"/>
      <w:r>
        <w:rPr>
          <w:sz w:val="24"/>
        </w:rPr>
        <w:t>Programmes</w:t>
      </w:r>
      <w:proofErr w:type="spellEnd"/>
      <w:r>
        <w:rPr>
          <w:sz w:val="24"/>
        </w:rPr>
        <w:t xml:space="preserve"> for Recycling (No. SSI--2002-23)</w:t>
      </w:r>
      <w:r w:rsidR="007E2C30">
        <w:rPr>
          <w:sz w:val="24"/>
        </w:rPr>
        <w:t>,</w:t>
      </w:r>
      <w:r>
        <w:rPr>
          <w:sz w:val="24"/>
        </w:rPr>
        <w:t xml:space="preserve"> Swedish Radiation Protection Authority</w:t>
      </w:r>
      <w:r w:rsidR="007E2C30">
        <w:rPr>
          <w:sz w:val="24"/>
        </w:rPr>
        <w:t>,</w:t>
      </w:r>
      <w:r w:rsidR="007E2C30" w:rsidRPr="007E2C30">
        <w:rPr>
          <w:sz w:val="24"/>
        </w:rPr>
        <w:t xml:space="preserve"> </w:t>
      </w:r>
      <w:r w:rsidR="007E2C30">
        <w:rPr>
          <w:sz w:val="24"/>
        </w:rPr>
        <w:t>2002.</w:t>
      </w:r>
    </w:p>
    <w:p w14:paraId="39FFACFB" w14:textId="09A8659B" w:rsidR="00432F68" w:rsidRDefault="000D07EC" w:rsidP="00432F68">
      <w:pPr>
        <w:pStyle w:val="a9"/>
        <w:spacing w:after="0" w:line="480" w:lineRule="auto"/>
        <w:ind w:hanging="360"/>
        <w:jc w:val="left"/>
        <w:rPr>
          <w:sz w:val="24"/>
        </w:rPr>
      </w:pPr>
      <w:r>
        <w:rPr>
          <w:sz w:val="24"/>
        </w:rPr>
        <w:t>[3</w:t>
      </w:r>
      <w:r w:rsidR="00765311">
        <w:rPr>
          <w:sz w:val="24"/>
        </w:rPr>
        <w:t>5</w:t>
      </w:r>
      <w:r>
        <w:rPr>
          <w:sz w:val="24"/>
        </w:rPr>
        <w:t xml:space="preserve">] </w:t>
      </w:r>
      <w:r w:rsidR="007E2C30">
        <w:rPr>
          <w:sz w:val="24"/>
        </w:rPr>
        <w:t xml:space="preserve">M. </w:t>
      </w:r>
      <w:proofErr w:type="spellStart"/>
      <w:proofErr w:type="gramStart"/>
      <w:r>
        <w:rPr>
          <w:sz w:val="24"/>
        </w:rPr>
        <w:t>Sappok</w:t>
      </w:r>
      <w:proofErr w:type="spellEnd"/>
      <w:r>
        <w:rPr>
          <w:sz w:val="24"/>
        </w:rPr>
        <w:t>,  Results</w:t>
      </w:r>
      <w:proofErr w:type="gramEnd"/>
      <w:r>
        <w:rPr>
          <w:sz w:val="24"/>
        </w:rPr>
        <w:t xml:space="preserve"> of melting large quantities of radioactive steel scrap</w:t>
      </w:r>
      <w:r w:rsidR="00CF7C84">
        <w:rPr>
          <w:sz w:val="24"/>
        </w:rPr>
        <w:t>,</w:t>
      </w:r>
      <w:r>
        <w:rPr>
          <w:sz w:val="24"/>
        </w:rPr>
        <w:t xml:space="preserve"> </w:t>
      </w:r>
      <w:proofErr w:type="spellStart"/>
      <w:r>
        <w:rPr>
          <w:sz w:val="24"/>
        </w:rPr>
        <w:t>Nucl</w:t>
      </w:r>
      <w:proofErr w:type="spellEnd"/>
      <w:r>
        <w:rPr>
          <w:sz w:val="24"/>
        </w:rPr>
        <w:t xml:space="preserve">. Technol. 86 </w:t>
      </w:r>
      <w:r w:rsidR="007E2C30">
        <w:rPr>
          <w:sz w:val="24"/>
        </w:rPr>
        <w:t xml:space="preserve">(1989) </w:t>
      </w:r>
      <w:r>
        <w:rPr>
          <w:sz w:val="24"/>
        </w:rPr>
        <w:t xml:space="preserve">188–191. </w:t>
      </w:r>
      <w:hyperlink r:id="rId24" w:history="1">
        <w:r w:rsidR="00432F68">
          <w:rPr>
            <w:rStyle w:val="a8"/>
            <w:sz w:val="24"/>
          </w:rPr>
          <w:t>https://doi.org/10.13182/NT89-A34269</w:t>
        </w:r>
      </w:hyperlink>
      <w:r>
        <w:rPr>
          <w:sz w:val="24"/>
        </w:rPr>
        <w:t>.</w:t>
      </w:r>
    </w:p>
    <w:p w14:paraId="677E4795" w14:textId="1611A824" w:rsidR="001251A1" w:rsidRDefault="000D07EC" w:rsidP="001251A1">
      <w:pPr>
        <w:pStyle w:val="a9"/>
        <w:spacing w:after="0" w:line="480" w:lineRule="auto"/>
        <w:ind w:hanging="360"/>
        <w:jc w:val="left"/>
        <w:rPr>
          <w:sz w:val="24"/>
        </w:rPr>
      </w:pPr>
      <w:r>
        <w:rPr>
          <w:sz w:val="24"/>
        </w:rPr>
        <w:t>[3</w:t>
      </w:r>
      <w:r w:rsidR="00765311">
        <w:rPr>
          <w:sz w:val="24"/>
        </w:rPr>
        <w:t>6</w:t>
      </w:r>
      <w:r>
        <w:rPr>
          <w:sz w:val="24"/>
        </w:rPr>
        <w:t xml:space="preserve">] </w:t>
      </w:r>
      <w:r w:rsidR="00EB06D0">
        <w:rPr>
          <w:sz w:val="24"/>
        </w:rPr>
        <w:t xml:space="preserve">M. </w:t>
      </w:r>
      <w:r>
        <w:rPr>
          <w:sz w:val="24"/>
        </w:rPr>
        <w:t xml:space="preserve">Elert, </w:t>
      </w:r>
      <w:r w:rsidR="00EB06D0">
        <w:rPr>
          <w:sz w:val="24"/>
        </w:rPr>
        <w:t xml:space="preserve">M. </w:t>
      </w:r>
      <w:proofErr w:type="spellStart"/>
      <w:r>
        <w:rPr>
          <w:sz w:val="24"/>
        </w:rPr>
        <w:t>Wiborgh</w:t>
      </w:r>
      <w:proofErr w:type="spellEnd"/>
      <w:r>
        <w:rPr>
          <w:sz w:val="24"/>
        </w:rPr>
        <w:t xml:space="preserve">, </w:t>
      </w:r>
      <w:r w:rsidR="00EB06D0">
        <w:rPr>
          <w:sz w:val="24"/>
        </w:rPr>
        <w:t xml:space="preserve">A. </w:t>
      </w:r>
      <w:proofErr w:type="gramStart"/>
      <w:r>
        <w:rPr>
          <w:sz w:val="24"/>
        </w:rPr>
        <w:t>Bengtsson,  Basis</w:t>
      </w:r>
      <w:proofErr w:type="gramEnd"/>
      <w:r>
        <w:rPr>
          <w:sz w:val="24"/>
        </w:rPr>
        <w:t xml:space="preserve"> for Criteria for Exemption of Decommissioning Waste (No. KEMAKTA-AR-98-08</w:t>
      </w:r>
      <w:r w:rsidR="00EB06D0">
        <w:rPr>
          <w:sz w:val="24"/>
        </w:rPr>
        <w:t>,</w:t>
      </w:r>
      <w:r>
        <w:rPr>
          <w:sz w:val="24"/>
        </w:rPr>
        <w:t xml:space="preserve"> Swedish Radiation Protection Institute</w:t>
      </w:r>
      <w:r w:rsidR="00EB06D0">
        <w:rPr>
          <w:sz w:val="24"/>
        </w:rPr>
        <w:t>,</w:t>
      </w:r>
      <w:r w:rsidR="00EB06D0" w:rsidRPr="00EB06D0">
        <w:rPr>
          <w:sz w:val="24"/>
        </w:rPr>
        <w:t xml:space="preserve"> </w:t>
      </w:r>
      <w:r w:rsidR="00EB06D0">
        <w:rPr>
          <w:sz w:val="24"/>
        </w:rPr>
        <w:t>1992.</w:t>
      </w:r>
    </w:p>
    <w:p w14:paraId="5C8BD89F" w14:textId="5FF3CDC4" w:rsidR="001251A1" w:rsidRDefault="000D07EC" w:rsidP="001251A1">
      <w:pPr>
        <w:pStyle w:val="a9"/>
        <w:spacing w:after="0" w:line="480" w:lineRule="auto"/>
        <w:ind w:hanging="360"/>
        <w:jc w:val="left"/>
        <w:rPr>
          <w:sz w:val="24"/>
        </w:rPr>
      </w:pPr>
      <w:r>
        <w:rPr>
          <w:sz w:val="24"/>
        </w:rPr>
        <w:t>[3</w:t>
      </w:r>
      <w:r w:rsidR="00765311">
        <w:rPr>
          <w:sz w:val="24"/>
        </w:rPr>
        <w:t>7</w:t>
      </w:r>
      <w:r>
        <w:rPr>
          <w:sz w:val="24"/>
        </w:rPr>
        <w:t xml:space="preserve">] </w:t>
      </w:r>
      <w:r w:rsidR="00EB06D0">
        <w:rPr>
          <w:sz w:val="24"/>
        </w:rPr>
        <w:t xml:space="preserve">A.M. </w:t>
      </w:r>
      <w:r>
        <w:rPr>
          <w:sz w:val="24"/>
        </w:rPr>
        <w:t xml:space="preserve">Chapuis, </w:t>
      </w:r>
      <w:r w:rsidR="00EB06D0">
        <w:rPr>
          <w:sz w:val="24"/>
        </w:rPr>
        <w:t xml:space="preserve">P. </w:t>
      </w:r>
      <w:proofErr w:type="spellStart"/>
      <w:r>
        <w:rPr>
          <w:sz w:val="24"/>
        </w:rPr>
        <w:t>Guetat</w:t>
      </w:r>
      <w:proofErr w:type="spellEnd"/>
      <w:r>
        <w:rPr>
          <w:sz w:val="24"/>
        </w:rPr>
        <w:t xml:space="preserve">, </w:t>
      </w:r>
      <w:r w:rsidR="00EB06D0">
        <w:rPr>
          <w:sz w:val="24"/>
        </w:rPr>
        <w:t xml:space="preserve">H. </w:t>
      </w:r>
      <w:proofErr w:type="spellStart"/>
      <w:proofErr w:type="gramStart"/>
      <w:r>
        <w:rPr>
          <w:sz w:val="24"/>
        </w:rPr>
        <w:t>Garbay</w:t>
      </w:r>
      <w:proofErr w:type="spellEnd"/>
      <w:r>
        <w:rPr>
          <w:sz w:val="24"/>
        </w:rPr>
        <w:t>,  Exemption</w:t>
      </w:r>
      <w:proofErr w:type="gramEnd"/>
      <w:r>
        <w:rPr>
          <w:sz w:val="24"/>
        </w:rPr>
        <w:t xml:space="preserve"> limits for the recycling of materials from the dismantling of nuclear installations, In: International Decommissioning Symposium</w:t>
      </w:r>
      <w:r w:rsidR="00EB06D0">
        <w:rPr>
          <w:sz w:val="24"/>
        </w:rPr>
        <w:t>,</w:t>
      </w:r>
      <w:r w:rsidR="00EB06D0" w:rsidRPr="00EB06D0">
        <w:rPr>
          <w:sz w:val="24"/>
        </w:rPr>
        <w:t xml:space="preserve"> </w:t>
      </w:r>
      <w:r w:rsidR="00EB06D0">
        <w:rPr>
          <w:sz w:val="24"/>
        </w:rPr>
        <w:t>1987.</w:t>
      </w:r>
    </w:p>
    <w:p w14:paraId="7C342BA4" w14:textId="181BDFA1" w:rsidR="00432F68" w:rsidRDefault="000D07EC" w:rsidP="00EB06D0">
      <w:pPr>
        <w:pStyle w:val="a9"/>
        <w:spacing w:after="0" w:line="480" w:lineRule="auto"/>
        <w:ind w:hanging="360"/>
        <w:jc w:val="left"/>
        <w:rPr>
          <w:sz w:val="24"/>
        </w:rPr>
      </w:pPr>
      <w:r>
        <w:rPr>
          <w:sz w:val="24"/>
        </w:rPr>
        <w:lastRenderedPageBreak/>
        <w:t>[3</w:t>
      </w:r>
      <w:r w:rsidR="00765311">
        <w:rPr>
          <w:sz w:val="24"/>
        </w:rPr>
        <w:t>8</w:t>
      </w:r>
      <w:r>
        <w:rPr>
          <w:sz w:val="24"/>
        </w:rPr>
        <w:t>] IAEA (</w:t>
      </w:r>
      <w:r>
        <w:rPr>
          <w:color w:val="000000"/>
          <w:sz w:val="24"/>
        </w:rPr>
        <w:t>International Atomic Energy Agency)</w:t>
      </w:r>
      <w:r>
        <w:rPr>
          <w:sz w:val="24"/>
        </w:rPr>
        <w:t>, Radiological Characterization of Shut down Nuclear Reactors for Decommissioning Purposes, IAEA Technical Reports Series No. 389</w:t>
      </w:r>
      <w:r w:rsidR="00EB06D0">
        <w:rPr>
          <w:sz w:val="24"/>
        </w:rPr>
        <w:t>,</w:t>
      </w:r>
      <w:r w:rsidR="00EB06D0" w:rsidRPr="00EB06D0">
        <w:rPr>
          <w:sz w:val="24"/>
        </w:rPr>
        <w:t xml:space="preserve"> </w:t>
      </w:r>
      <w:r w:rsidR="00EB06D0">
        <w:rPr>
          <w:sz w:val="24"/>
        </w:rPr>
        <w:t>1998.</w:t>
      </w:r>
    </w:p>
    <w:p w14:paraId="54831247" w14:textId="42153D76" w:rsidR="001251A1" w:rsidRDefault="000D07EC" w:rsidP="00EB06D0">
      <w:pPr>
        <w:pStyle w:val="a9"/>
        <w:spacing w:after="0" w:line="480" w:lineRule="auto"/>
        <w:ind w:hanging="360"/>
        <w:jc w:val="left"/>
        <w:rPr>
          <w:sz w:val="24"/>
        </w:rPr>
      </w:pPr>
      <w:r>
        <w:rPr>
          <w:sz w:val="24"/>
        </w:rPr>
        <w:t>[</w:t>
      </w:r>
      <w:r w:rsidR="00765311">
        <w:rPr>
          <w:sz w:val="24"/>
        </w:rPr>
        <w:t>39</w:t>
      </w:r>
      <w:r>
        <w:rPr>
          <w:sz w:val="24"/>
        </w:rPr>
        <w:t>] IAEA (</w:t>
      </w:r>
      <w:r>
        <w:rPr>
          <w:color w:val="000000"/>
          <w:sz w:val="24"/>
        </w:rPr>
        <w:t>International Atomic Energy Agency)</w:t>
      </w:r>
      <w:r>
        <w:rPr>
          <w:sz w:val="24"/>
        </w:rPr>
        <w:t>, Derivation of Activity Concentration Values for Exclusion, Exemption and Clearance, IAEA Safety Report Series No. 44</w:t>
      </w:r>
      <w:r w:rsidR="00EB06D0">
        <w:rPr>
          <w:sz w:val="24"/>
        </w:rPr>
        <w:t>,</w:t>
      </w:r>
      <w:r w:rsidR="00EB06D0" w:rsidRPr="00EB06D0">
        <w:rPr>
          <w:sz w:val="24"/>
        </w:rPr>
        <w:t xml:space="preserve"> </w:t>
      </w:r>
      <w:r w:rsidR="00EB06D0">
        <w:rPr>
          <w:sz w:val="24"/>
        </w:rPr>
        <w:t>2005,</w:t>
      </w:r>
    </w:p>
    <w:p w14:paraId="21292440" w14:textId="349A1ABC" w:rsidR="001251A1" w:rsidRDefault="000D07EC" w:rsidP="001251A1">
      <w:pPr>
        <w:pStyle w:val="a9"/>
        <w:spacing w:after="0" w:line="480" w:lineRule="auto"/>
        <w:ind w:hanging="360"/>
        <w:jc w:val="left"/>
        <w:rPr>
          <w:sz w:val="24"/>
        </w:rPr>
      </w:pPr>
      <w:r>
        <w:rPr>
          <w:sz w:val="24"/>
        </w:rPr>
        <w:t>[4</w:t>
      </w:r>
      <w:r w:rsidR="00765311">
        <w:rPr>
          <w:sz w:val="24"/>
        </w:rPr>
        <w:t>0</w:t>
      </w:r>
      <w:r>
        <w:rPr>
          <w:sz w:val="24"/>
        </w:rPr>
        <w:t xml:space="preserve">] </w:t>
      </w:r>
      <w:r w:rsidR="00EB06D0">
        <w:rPr>
          <w:sz w:val="24"/>
        </w:rPr>
        <w:t xml:space="preserve">L.A. </w:t>
      </w:r>
      <w:proofErr w:type="gramStart"/>
      <w:r>
        <w:rPr>
          <w:sz w:val="24"/>
        </w:rPr>
        <w:t>Bowman,  Monte</w:t>
      </w:r>
      <w:proofErr w:type="gramEnd"/>
      <w:r>
        <w:rPr>
          <w:sz w:val="24"/>
        </w:rPr>
        <w:t xml:space="preserve"> Carlo Calculation of Gamma-Ray Dose-Rate Buildup Factors for Lead and Water Shields and Monte Carlo Calculation of the Deposition of Gamma-Ray Heating in Stratified Lead and Water Slabs. Oak Ridge National Laboratory, Oak Ridge, Tennessee, </w:t>
      </w:r>
      <w:r w:rsidR="00EB06D0">
        <w:rPr>
          <w:sz w:val="24"/>
        </w:rPr>
        <w:t xml:space="preserve">1958, </w:t>
      </w:r>
      <w:r>
        <w:rPr>
          <w:sz w:val="24"/>
        </w:rPr>
        <w:t>p</w:t>
      </w:r>
      <w:r w:rsidR="00EB06D0">
        <w:rPr>
          <w:sz w:val="24"/>
        </w:rPr>
        <w:t>p</w:t>
      </w:r>
      <w:r>
        <w:rPr>
          <w:sz w:val="24"/>
        </w:rPr>
        <w:t>. ORNL-2609.</w:t>
      </w:r>
    </w:p>
    <w:p w14:paraId="23E3E3DF" w14:textId="7ACB152A" w:rsidR="001251A1" w:rsidRDefault="000D07EC" w:rsidP="001251A1">
      <w:pPr>
        <w:pStyle w:val="a9"/>
        <w:spacing w:after="0" w:line="480" w:lineRule="auto"/>
        <w:ind w:hanging="360"/>
        <w:jc w:val="left"/>
        <w:rPr>
          <w:sz w:val="24"/>
        </w:rPr>
      </w:pPr>
      <w:r>
        <w:rPr>
          <w:sz w:val="24"/>
        </w:rPr>
        <w:t>[4</w:t>
      </w:r>
      <w:r w:rsidR="00765311">
        <w:rPr>
          <w:sz w:val="24"/>
        </w:rPr>
        <w:t>1</w:t>
      </w:r>
      <w:r>
        <w:rPr>
          <w:sz w:val="24"/>
        </w:rPr>
        <w:t xml:space="preserve">] </w:t>
      </w:r>
      <w:r w:rsidR="00BA54F1">
        <w:rPr>
          <w:sz w:val="24"/>
        </w:rPr>
        <w:t xml:space="preserve">D.L. </w:t>
      </w:r>
      <w:r>
        <w:rPr>
          <w:sz w:val="24"/>
        </w:rPr>
        <w:t xml:space="preserve">Broder, </w:t>
      </w:r>
      <w:r w:rsidR="00BA54F1">
        <w:rPr>
          <w:sz w:val="24"/>
        </w:rPr>
        <w:t xml:space="preserve">Y.P. </w:t>
      </w:r>
      <w:proofErr w:type="spellStart"/>
      <w:r>
        <w:rPr>
          <w:sz w:val="24"/>
        </w:rPr>
        <w:t>Kayurin</w:t>
      </w:r>
      <w:proofErr w:type="spellEnd"/>
      <w:r>
        <w:rPr>
          <w:sz w:val="24"/>
        </w:rPr>
        <w:t xml:space="preserve">, </w:t>
      </w:r>
      <w:r w:rsidR="00BA54F1">
        <w:rPr>
          <w:sz w:val="24"/>
        </w:rPr>
        <w:t xml:space="preserve">A.A. </w:t>
      </w:r>
      <w:proofErr w:type="gramStart"/>
      <w:r>
        <w:rPr>
          <w:sz w:val="24"/>
        </w:rPr>
        <w:t>Kutuzov,  Transmission</w:t>
      </w:r>
      <w:proofErr w:type="gramEnd"/>
      <w:r>
        <w:rPr>
          <w:sz w:val="24"/>
        </w:rPr>
        <w:t xml:space="preserve"> of gamma radiation through heterogeneous media</w:t>
      </w:r>
      <w:r w:rsidR="00BA54F1">
        <w:rPr>
          <w:sz w:val="24"/>
        </w:rPr>
        <w:t>,</w:t>
      </w:r>
      <w:r>
        <w:rPr>
          <w:sz w:val="24"/>
        </w:rPr>
        <w:t xml:space="preserve"> Energy. 12 </w:t>
      </w:r>
      <w:r w:rsidR="00BA54F1">
        <w:rPr>
          <w:sz w:val="24"/>
        </w:rPr>
        <w:t xml:space="preserve">(1962) </w:t>
      </w:r>
      <w:r>
        <w:rPr>
          <w:sz w:val="24"/>
        </w:rPr>
        <w:t xml:space="preserve">26–31. </w:t>
      </w:r>
      <w:hyperlink r:id="rId25" w:history="1">
        <w:r w:rsidR="001251A1">
          <w:rPr>
            <w:rStyle w:val="a8"/>
            <w:sz w:val="24"/>
          </w:rPr>
          <w:t>https://doi.org/10.1007/BF01475996</w:t>
        </w:r>
      </w:hyperlink>
      <w:r>
        <w:rPr>
          <w:sz w:val="24"/>
        </w:rPr>
        <w:t xml:space="preserve">. </w:t>
      </w:r>
    </w:p>
    <w:p w14:paraId="60450914" w14:textId="1B2A0B61" w:rsidR="00765311" w:rsidRDefault="000D07EC" w:rsidP="001251A1">
      <w:pPr>
        <w:pStyle w:val="a9"/>
        <w:spacing w:after="0" w:line="480" w:lineRule="auto"/>
        <w:ind w:hanging="360"/>
        <w:jc w:val="left"/>
        <w:rPr>
          <w:sz w:val="24"/>
        </w:rPr>
      </w:pPr>
      <w:r>
        <w:rPr>
          <w:sz w:val="24"/>
        </w:rPr>
        <w:t xml:space="preserve">[42] </w:t>
      </w:r>
      <w:r w:rsidR="00BA54F1">
        <w:rPr>
          <w:sz w:val="24"/>
        </w:rPr>
        <w:t xml:space="preserve">S.-I. </w:t>
      </w:r>
      <w:r>
        <w:rPr>
          <w:sz w:val="24"/>
        </w:rPr>
        <w:t xml:space="preserve">Miyasaka, </w:t>
      </w:r>
      <w:r w:rsidR="00BA54F1">
        <w:rPr>
          <w:sz w:val="24"/>
        </w:rPr>
        <w:t xml:space="preserve">A. </w:t>
      </w:r>
      <w:proofErr w:type="spellStart"/>
      <w:proofErr w:type="gramStart"/>
      <w:r>
        <w:rPr>
          <w:sz w:val="24"/>
        </w:rPr>
        <w:t>Tsuruo</w:t>
      </w:r>
      <w:proofErr w:type="spellEnd"/>
      <w:r>
        <w:rPr>
          <w:sz w:val="24"/>
        </w:rPr>
        <w:t xml:space="preserve">, </w:t>
      </w:r>
      <w:r>
        <w:rPr>
          <w:rFonts w:ascii="Calibri" w:eastAsia="Calibri" w:hAnsi="Calibri" w:cs="Calibri"/>
          <w:sz w:val="22"/>
        </w:rPr>
        <w:t xml:space="preserve"> </w:t>
      </w:r>
      <w:r>
        <w:rPr>
          <w:sz w:val="24"/>
        </w:rPr>
        <w:t>Dose</w:t>
      </w:r>
      <w:proofErr w:type="gramEnd"/>
      <w:r>
        <w:rPr>
          <w:sz w:val="24"/>
        </w:rPr>
        <w:t xml:space="preserve"> buildup factors of multi-layer slabs for a point isotropic source</w:t>
      </w:r>
      <w:r w:rsidR="00BA54F1">
        <w:rPr>
          <w:sz w:val="24"/>
        </w:rPr>
        <w:t>,</w:t>
      </w:r>
      <w:r>
        <w:rPr>
          <w:sz w:val="24"/>
        </w:rPr>
        <w:t xml:space="preserve"> J. </w:t>
      </w:r>
      <w:proofErr w:type="spellStart"/>
      <w:r>
        <w:rPr>
          <w:sz w:val="24"/>
        </w:rPr>
        <w:t>Nucl</w:t>
      </w:r>
      <w:proofErr w:type="spellEnd"/>
      <w:r>
        <w:rPr>
          <w:sz w:val="24"/>
        </w:rPr>
        <w:t xml:space="preserve">. Sci. Technol. 3 </w:t>
      </w:r>
      <w:r w:rsidR="00BA54F1">
        <w:rPr>
          <w:sz w:val="24"/>
        </w:rPr>
        <w:t xml:space="preserve">(1966) </w:t>
      </w:r>
      <w:r>
        <w:rPr>
          <w:sz w:val="24"/>
        </w:rPr>
        <w:t xml:space="preserve">393–400. </w:t>
      </w:r>
      <w:hyperlink r:id="rId26" w:history="1">
        <w:r w:rsidR="00765311">
          <w:rPr>
            <w:rStyle w:val="a8"/>
            <w:sz w:val="24"/>
          </w:rPr>
          <w:t>https://doi.org/10.3327/jnst.3.393</w:t>
        </w:r>
      </w:hyperlink>
      <w:r>
        <w:rPr>
          <w:sz w:val="24"/>
        </w:rPr>
        <w:t>.</w:t>
      </w:r>
    </w:p>
    <w:p w14:paraId="0F9BDF35" w14:textId="0D56C02D" w:rsidR="001251A1" w:rsidRDefault="000D07EC" w:rsidP="001251A1">
      <w:pPr>
        <w:pStyle w:val="a9"/>
        <w:spacing w:after="0" w:line="480" w:lineRule="auto"/>
        <w:ind w:hanging="360"/>
        <w:jc w:val="left"/>
        <w:rPr>
          <w:sz w:val="24"/>
        </w:rPr>
      </w:pPr>
      <w:r>
        <w:rPr>
          <w:sz w:val="24"/>
        </w:rPr>
        <w:t>[4</w:t>
      </w:r>
      <w:r w:rsidR="00765311">
        <w:rPr>
          <w:sz w:val="24"/>
        </w:rPr>
        <w:t>3</w:t>
      </w:r>
      <w:r>
        <w:rPr>
          <w:sz w:val="24"/>
        </w:rPr>
        <w:t xml:space="preserve">] </w:t>
      </w:r>
      <w:r w:rsidR="00BA54F1">
        <w:rPr>
          <w:sz w:val="24"/>
        </w:rPr>
        <w:t xml:space="preserve">G.P. </w:t>
      </w:r>
      <w:r>
        <w:rPr>
          <w:sz w:val="24"/>
        </w:rPr>
        <w:t xml:space="preserve">Burke, </w:t>
      </w:r>
      <w:r w:rsidR="00BA54F1">
        <w:rPr>
          <w:sz w:val="24"/>
        </w:rPr>
        <w:t xml:space="preserve">H.L. </w:t>
      </w:r>
      <w:proofErr w:type="gramStart"/>
      <w:r>
        <w:rPr>
          <w:sz w:val="24"/>
        </w:rPr>
        <w:t xml:space="preserve">Beck, </w:t>
      </w:r>
      <w:r>
        <w:rPr>
          <w:rFonts w:ascii="Calibri" w:eastAsia="Calibri" w:hAnsi="Calibri" w:cs="Calibri"/>
          <w:sz w:val="22"/>
        </w:rPr>
        <w:t xml:space="preserve"> </w:t>
      </w:r>
      <w:r>
        <w:rPr>
          <w:sz w:val="24"/>
        </w:rPr>
        <w:t>Calculated</w:t>
      </w:r>
      <w:proofErr w:type="gramEnd"/>
      <w:r>
        <w:rPr>
          <w:sz w:val="24"/>
        </w:rPr>
        <w:t xml:space="preserve"> and measured dose buildup factors for gamma rays penetrating multilayered slabs</w:t>
      </w:r>
      <w:r w:rsidR="00BA54F1">
        <w:rPr>
          <w:sz w:val="24"/>
        </w:rPr>
        <w:t>,</w:t>
      </w:r>
      <w:r>
        <w:rPr>
          <w:sz w:val="24"/>
        </w:rPr>
        <w:t xml:space="preserve"> </w:t>
      </w:r>
      <w:proofErr w:type="spellStart"/>
      <w:r>
        <w:rPr>
          <w:sz w:val="24"/>
        </w:rPr>
        <w:t>Nucl</w:t>
      </w:r>
      <w:proofErr w:type="spellEnd"/>
      <w:r>
        <w:rPr>
          <w:sz w:val="24"/>
        </w:rPr>
        <w:t xml:space="preserve">. Sci. Eng. 53 </w:t>
      </w:r>
      <w:r w:rsidR="00BA54F1">
        <w:rPr>
          <w:sz w:val="24"/>
        </w:rPr>
        <w:t xml:space="preserve">(1974) </w:t>
      </w:r>
      <w:r>
        <w:rPr>
          <w:sz w:val="24"/>
        </w:rPr>
        <w:t xml:space="preserve">109–112. </w:t>
      </w:r>
      <w:hyperlink r:id="rId27" w:history="1">
        <w:r w:rsidR="001251A1">
          <w:rPr>
            <w:rStyle w:val="a8"/>
            <w:sz w:val="24"/>
          </w:rPr>
          <w:t>https://doi.org/10.13182/NSE74-A23334</w:t>
        </w:r>
      </w:hyperlink>
      <w:r>
        <w:rPr>
          <w:sz w:val="24"/>
        </w:rPr>
        <w:t>.</w:t>
      </w:r>
    </w:p>
    <w:p w14:paraId="77134A6B" w14:textId="6CE30AA2" w:rsidR="001251A1" w:rsidRPr="001251A1" w:rsidRDefault="000D07EC" w:rsidP="001251A1">
      <w:pPr>
        <w:pStyle w:val="a9"/>
        <w:spacing w:after="0" w:line="480" w:lineRule="auto"/>
        <w:ind w:hanging="360"/>
        <w:jc w:val="left"/>
        <w:rPr>
          <w:sz w:val="24"/>
        </w:rPr>
      </w:pPr>
      <w:r>
        <w:rPr>
          <w:sz w:val="24"/>
        </w:rPr>
        <w:t>[4</w:t>
      </w:r>
      <w:r w:rsidR="00765311">
        <w:rPr>
          <w:sz w:val="24"/>
        </w:rPr>
        <w:t>4</w:t>
      </w:r>
      <w:r>
        <w:rPr>
          <w:sz w:val="24"/>
        </w:rPr>
        <w:t xml:space="preserve">] </w:t>
      </w:r>
      <w:r w:rsidR="00A922DA">
        <w:rPr>
          <w:sz w:val="24"/>
        </w:rPr>
        <w:t xml:space="preserve">P. </w:t>
      </w:r>
      <w:r>
        <w:rPr>
          <w:sz w:val="24"/>
        </w:rPr>
        <w:t xml:space="preserve">Basu, </w:t>
      </w:r>
      <w:r w:rsidR="00A922DA">
        <w:rPr>
          <w:sz w:val="24"/>
        </w:rPr>
        <w:t xml:space="preserve">R. </w:t>
      </w:r>
      <w:r>
        <w:rPr>
          <w:sz w:val="24"/>
        </w:rPr>
        <w:t xml:space="preserve">Sarangapani, </w:t>
      </w:r>
      <w:r w:rsidR="00A922DA">
        <w:rPr>
          <w:sz w:val="24"/>
        </w:rPr>
        <w:t xml:space="preserve">B. </w:t>
      </w:r>
      <w:proofErr w:type="gramStart"/>
      <w:r>
        <w:rPr>
          <w:sz w:val="24"/>
        </w:rPr>
        <w:t xml:space="preserve">Venkatraman, </w:t>
      </w:r>
      <w:r>
        <w:rPr>
          <w:rFonts w:ascii="Calibri" w:eastAsia="Calibri" w:hAnsi="Calibri" w:cs="Calibri"/>
          <w:sz w:val="22"/>
        </w:rPr>
        <w:t xml:space="preserve"> </w:t>
      </w:r>
      <w:r>
        <w:rPr>
          <w:sz w:val="24"/>
        </w:rPr>
        <w:t>An</w:t>
      </w:r>
      <w:proofErr w:type="gramEnd"/>
      <w:r>
        <w:rPr>
          <w:sz w:val="24"/>
        </w:rPr>
        <w:t xml:space="preserve"> improvement to the Kalos’ formula for double layer gamma ray exposure buildup factors for shielding materials of nuclear and radiological facilities</w:t>
      </w:r>
      <w:r w:rsidR="00A922DA">
        <w:rPr>
          <w:sz w:val="24"/>
        </w:rPr>
        <w:t>,</w:t>
      </w:r>
      <w:r>
        <w:rPr>
          <w:sz w:val="24"/>
        </w:rPr>
        <w:t xml:space="preserve"> Ann. </w:t>
      </w:r>
      <w:proofErr w:type="spellStart"/>
      <w:r>
        <w:rPr>
          <w:sz w:val="24"/>
        </w:rPr>
        <w:t>Nucl</w:t>
      </w:r>
      <w:proofErr w:type="spellEnd"/>
      <w:r>
        <w:rPr>
          <w:sz w:val="24"/>
        </w:rPr>
        <w:t xml:space="preserve">. Energy. 151 </w:t>
      </w:r>
      <w:r w:rsidR="00A922DA">
        <w:rPr>
          <w:sz w:val="24"/>
        </w:rPr>
        <w:t xml:space="preserve">(2021) </w:t>
      </w:r>
      <w:r>
        <w:rPr>
          <w:sz w:val="24"/>
        </w:rPr>
        <w:t xml:space="preserve">107944. </w:t>
      </w:r>
      <w:hyperlink r:id="rId28" w:history="1">
        <w:r w:rsidR="001251A1">
          <w:rPr>
            <w:rStyle w:val="a8"/>
            <w:sz w:val="24"/>
          </w:rPr>
          <w:t>https://doi.org/10.1016/j.anucene.2020.107944</w:t>
        </w:r>
      </w:hyperlink>
      <w:r>
        <w:rPr>
          <w:sz w:val="24"/>
        </w:rPr>
        <w:t>.</w:t>
      </w:r>
    </w:p>
    <w:p w14:paraId="2EC828B8" w14:textId="66A80A3E" w:rsidR="001251A1" w:rsidRPr="001251A1" w:rsidRDefault="000D07EC" w:rsidP="001251A1">
      <w:pPr>
        <w:pStyle w:val="a9"/>
        <w:spacing w:after="0" w:line="480" w:lineRule="auto"/>
        <w:ind w:hanging="360"/>
        <w:jc w:val="left"/>
        <w:rPr>
          <w:sz w:val="24"/>
        </w:rPr>
      </w:pPr>
      <w:r>
        <w:rPr>
          <w:sz w:val="24"/>
        </w:rPr>
        <w:t>[4</w:t>
      </w:r>
      <w:r w:rsidR="00765311">
        <w:rPr>
          <w:sz w:val="24"/>
        </w:rPr>
        <w:t>5</w:t>
      </w:r>
      <w:r>
        <w:rPr>
          <w:sz w:val="24"/>
        </w:rPr>
        <w:t xml:space="preserve">] </w:t>
      </w:r>
      <w:r w:rsidR="00A922DA">
        <w:rPr>
          <w:sz w:val="24"/>
        </w:rPr>
        <w:t xml:space="preserve">I.I. </w:t>
      </w:r>
      <w:proofErr w:type="spellStart"/>
      <w:r>
        <w:rPr>
          <w:sz w:val="24"/>
        </w:rPr>
        <w:t>Bashter</w:t>
      </w:r>
      <w:proofErr w:type="spellEnd"/>
      <w:r>
        <w:rPr>
          <w:sz w:val="24"/>
        </w:rPr>
        <w:t>, Calculation of radiation attenuation coefficients for shielding concretes</w:t>
      </w:r>
      <w:r w:rsidR="00A922DA">
        <w:rPr>
          <w:sz w:val="24"/>
        </w:rPr>
        <w:t>,</w:t>
      </w:r>
      <w:r>
        <w:rPr>
          <w:sz w:val="24"/>
        </w:rPr>
        <w:t xml:space="preserve"> </w:t>
      </w:r>
      <w:r>
        <w:rPr>
          <w:sz w:val="24"/>
        </w:rPr>
        <w:lastRenderedPageBreak/>
        <w:t xml:space="preserve">Ann. </w:t>
      </w:r>
      <w:proofErr w:type="spellStart"/>
      <w:r>
        <w:rPr>
          <w:sz w:val="24"/>
        </w:rPr>
        <w:t>Nucl</w:t>
      </w:r>
      <w:proofErr w:type="spellEnd"/>
      <w:r>
        <w:rPr>
          <w:sz w:val="24"/>
        </w:rPr>
        <w:t xml:space="preserve">. Energy. 24, </w:t>
      </w:r>
      <w:r w:rsidR="00A922DA">
        <w:rPr>
          <w:sz w:val="24"/>
        </w:rPr>
        <w:t xml:space="preserve">(1997) </w:t>
      </w:r>
      <w:r>
        <w:rPr>
          <w:sz w:val="24"/>
        </w:rPr>
        <w:t xml:space="preserve">1389–1401. </w:t>
      </w:r>
      <w:hyperlink r:id="rId29" w:history="1">
        <w:r w:rsidR="001251A1">
          <w:rPr>
            <w:rStyle w:val="a8"/>
            <w:sz w:val="24"/>
          </w:rPr>
          <w:t>https://doi.org/10.1016/S0306-4549(97)00003-0</w:t>
        </w:r>
      </w:hyperlink>
      <w:r>
        <w:rPr>
          <w:sz w:val="24"/>
        </w:rPr>
        <w:t xml:space="preserve">. </w:t>
      </w:r>
    </w:p>
    <w:p w14:paraId="3B452199" w14:textId="2E94A1AA" w:rsidR="00A43D6E" w:rsidRDefault="000D07EC">
      <w:pPr>
        <w:pStyle w:val="a9"/>
        <w:spacing w:after="0" w:line="480" w:lineRule="auto"/>
        <w:ind w:hanging="360"/>
        <w:jc w:val="left"/>
        <w:rPr>
          <w:sz w:val="24"/>
        </w:rPr>
      </w:pPr>
      <w:r>
        <w:rPr>
          <w:sz w:val="24"/>
        </w:rPr>
        <w:t>[4</w:t>
      </w:r>
      <w:r w:rsidR="00765311">
        <w:rPr>
          <w:sz w:val="24"/>
        </w:rPr>
        <w:t>6</w:t>
      </w:r>
      <w:r>
        <w:rPr>
          <w:sz w:val="24"/>
        </w:rPr>
        <w:t xml:space="preserve">] </w:t>
      </w:r>
      <w:r w:rsidR="00A922DA">
        <w:rPr>
          <w:sz w:val="24"/>
        </w:rPr>
        <w:t xml:space="preserve">I. </w:t>
      </w:r>
      <w:r w:rsidR="00EB3CA0">
        <w:rPr>
          <w:sz w:val="24"/>
        </w:rPr>
        <w:t xml:space="preserve">Akkurt, </w:t>
      </w:r>
      <w:r w:rsidR="00A922DA">
        <w:rPr>
          <w:sz w:val="24"/>
        </w:rPr>
        <w:t xml:space="preserve">R. </w:t>
      </w:r>
      <w:proofErr w:type="spellStart"/>
      <w:r w:rsidR="00EB3CA0">
        <w:rPr>
          <w:sz w:val="24"/>
        </w:rPr>
        <w:t>Altindag</w:t>
      </w:r>
      <w:proofErr w:type="spellEnd"/>
      <w:r w:rsidR="00EB3CA0">
        <w:rPr>
          <w:sz w:val="24"/>
        </w:rPr>
        <w:t xml:space="preserve">, </w:t>
      </w:r>
      <w:r w:rsidR="00A922DA">
        <w:rPr>
          <w:sz w:val="24"/>
        </w:rPr>
        <w:t xml:space="preserve">K. </w:t>
      </w:r>
      <w:proofErr w:type="spellStart"/>
      <w:r w:rsidR="00EB3CA0">
        <w:rPr>
          <w:sz w:val="24"/>
        </w:rPr>
        <w:t>Gunoglu</w:t>
      </w:r>
      <w:proofErr w:type="spellEnd"/>
      <w:r w:rsidR="00EB3CA0">
        <w:rPr>
          <w:sz w:val="24"/>
        </w:rPr>
        <w:t xml:space="preserve">, </w:t>
      </w:r>
      <w:r w:rsidR="00A922DA">
        <w:rPr>
          <w:sz w:val="24"/>
        </w:rPr>
        <w:t xml:space="preserve">H. </w:t>
      </w:r>
      <w:proofErr w:type="gramStart"/>
      <w:r w:rsidR="00EB3CA0">
        <w:rPr>
          <w:sz w:val="24"/>
        </w:rPr>
        <w:t>Sarıkaya,  Photon</w:t>
      </w:r>
      <w:proofErr w:type="gramEnd"/>
      <w:r w:rsidR="00EB3CA0">
        <w:rPr>
          <w:sz w:val="24"/>
        </w:rPr>
        <w:t xml:space="preserve"> attenuation coefficients of concrete including marble aggregates</w:t>
      </w:r>
      <w:r w:rsidR="00A922DA">
        <w:rPr>
          <w:sz w:val="24"/>
        </w:rPr>
        <w:t>,</w:t>
      </w:r>
      <w:r w:rsidR="00EB3CA0">
        <w:rPr>
          <w:sz w:val="24"/>
        </w:rPr>
        <w:t xml:space="preserve"> Ann. </w:t>
      </w:r>
      <w:proofErr w:type="spellStart"/>
      <w:r w:rsidR="00EB3CA0">
        <w:rPr>
          <w:sz w:val="24"/>
        </w:rPr>
        <w:t>Nucl</w:t>
      </w:r>
      <w:proofErr w:type="spellEnd"/>
      <w:r w:rsidR="00EB3CA0">
        <w:rPr>
          <w:sz w:val="24"/>
        </w:rPr>
        <w:t xml:space="preserve">. Energy. 43 </w:t>
      </w:r>
      <w:r w:rsidR="00A922DA">
        <w:rPr>
          <w:sz w:val="24"/>
        </w:rPr>
        <w:t xml:space="preserve">(2012) </w:t>
      </w:r>
      <w:r w:rsidR="00EB3CA0">
        <w:rPr>
          <w:sz w:val="24"/>
        </w:rPr>
        <w:t xml:space="preserve">56–60. </w:t>
      </w:r>
      <w:hyperlink r:id="rId30" w:history="1">
        <w:r w:rsidR="00EB3CA0">
          <w:rPr>
            <w:rStyle w:val="a8"/>
            <w:sz w:val="24"/>
          </w:rPr>
          <w:t>https://doi.org/10.1016/j.anucene.2011.12.031</w:t>
        </w:r>
      </w:hyperlink>
      <w:r w:rsidR="00EB3CA0">
        <w:rPr>
          <w:sz w:val="24"/>
        </w:rPr>
        <w:t xml:space="preserve">. </w:t>
      </w:r>
    </w:p>
    <w:p w14:paraId="3B45219A" w14:textId="4BCF9D5D" w:rsidR="00A43D6E" w:rsidRDefault="000D07EC">
      <w:pPr>
        <w:pStyle w:val="a9"/>
        <w:spacing w:after="0" w:line="480" w:lineRule="auto"/>
        <w:ind w:hanging="360"/>
        <w:jc w:val="left"/>
        <w:rPr>
          <w:sz w:val="24"/>
        </w:rPr>
      </w:pPr>
      <w:r>
        <w:rPr>
          <w:sz w:val="24"/>
        </w:rPr>
        <w:t>[4</w:t>
      </w:r>
      <w:r w:rsidR="00765311">
        <w:rPr>
          <w:sz w:val="24"/>
        </w:rPr>
        <w:t>7</w:t>
      </w:r>
      <w:r>
        <w:rPr>
          <w:sz w:val="24"/>
        </w:rPr>
        <w:t xml:space="preserve">] </w:t>
      </w:r>
      <w:r w:rsidR="00BE4D59">
        <w:rPr>
          <w:sz w:val="24"/>
        </w:rPr>
        <w:t xml:space="preserve">T.A. </w:t>
      </w:r>
      <w:r w:rsidR="00EB3CA0">
        <w:rPr>
          <w:sz w:val="24"/>
        </w:rPr>
        <w:t xml:space="preserve">Almeida Junior, </w:t>
      </w:r>
      <w:r w:rsidR="00BE4D59">
        <w:rPr>
          <w:sz w:val="24"/>
        </w:rPr>
        <w:t xml:space="preserve">M.S. </w:t>
      </w:r>
      <w:r w:rsidR="00EB3CA0">
        <w:rPr>
          <w:sz w:val="24"/>
        </w:rPr>
        <w:t xml:space="preserve">Nogueira, </w:t>
      </w:r>
      <w:r w:rsidR="00BE4D59">
        <w:rPr>
          <w:sz w:val="24"/>
        </w:rPr>
        <w:t xml:space="preserve">V. </w:t>
      </w:r>
      <w:r w:rsidR="00EB3CA0">
        <w:rPr>
          <w:sz w:val="24"/>
        </w:rPr>
        <w:t xml:space="preserve">Vivolo, </w:t>
      </w:r>
      <w:r w:rsidR="00BE4D59">
        <w:rPr>
          <w:sz w:val="24"/>
        </w:rPr>
        <w:t xml:space="preserve">M.P.A. </w:t>
      </w:r>
      <w:proofErr w:type="spellStart"/>
      <w:r w:rsidR="00EB3CA0">
        <w:rPr>
          <w:sz w:val="24"/>
        </w:rPr>
        <w:t>Potiens</w:t>
      </w:r>
      <w:proofErr w:type="spellEnd"/>
      <w:r w:rsidR="00EB3CA0">
        <w:rPr>
          <w:sz w:val="24"/>
        </w:rPr>
        <w:t xml:space="preserve">, </w:t>
      </w:r>
      <w:r w:rsidR="00BE4D59">
        <w:rPr>
          <w:sz w:val="24"/>
        </w:rPr>
        <w:t xml:space="preserve">L.L. </w:t>
      </w:r>
      <w:proofErr w:type="gramStart"/>
      <w:r w:rsidR="00EB3CA0">
        <w:rPr>
          <w:sz w:val="24"/>
        </w:rPr>
        <w:t>Campos,  Mass</w:t>
      </w:r>
      <w:proofErr w:type="gramEnd"/>
      <w:r w:rsidR="00EB3CA0">
        <w:rPr>
          <w:sz w:val="24"/>
        </w:rPr>
        <w:t xml:space="preserve"> attenuation coefficients of X-rays in different barite concrete used in radiation protection as shielding against ionizing radiation</w:t>
      </w:r>
      <w:r w:rsidR="00BE4D59">
        <w:rPr>
          <w:sz w:val="24"/>
        </w:rPr>
        <w:t>,</w:t>
      </w:r>
      <w:r w:rsidR="00EB3CA0">
        <w:rPr>
          <w:sz w:val="24"/>
        </w:rPr>
        <w:t xml:space="preserve"> </w:t>
      </w:r>
      <w:proofErr w:type="spellStart"/>
      <w:r w:rsidR="00EB3CA0">
        <w:rPr>
          <w:sz w:val="24"/>
        </w:rPr>
        <w:t>Radiat</w:t>
      </w:r>
      <w:proofErr w:type="spellEnd"/>
      <w:r w:rsidR="00EB3CA0">
        <w:rPr>
          <w:sz w:val="24"/>
        </w:rPr>
        <w:t xml:space="preserve">. Phys. Chem. 140 </w:t>
      </w:r>
      <w:r w:rsidR="00BE4D59">
        <w:rPr>
          <w:sz w:val="24"/>
        </w:rPr>
        <w:t xml:space="preserve">(2017) </w:t>
      </w:r>
      <w:r w:rsidR="00EB3CA0">
        <w:rPr>
          <w:sz w:val="24"/>
        </w:rPr>
        <w:t xml:space="preserve">349–354. </w:t>
      </w:r>
      <w:hyperlink r:id="rId31" w:history="1">
        <w:r w:rsidR="00EB3CA0">
          <w:rPr>
            <w:rStyle w:val="a8"/>
            <w:sz w:val="24"/>
          </w:rPr>
          <w:t>https://doi.org/10.1016/j.radphyschem.2017.02.054</w:t>
        </w:r>
      </w:hyperlink>
      <w:r w:rsidR="00EB3CA0">
        <w:rPr>
          <w:sz w:val="24"/>
        </w:rPr>
        <w:t xml:space="preserve">. </w:t>
      </w:r>
    </w:p>
    <w:p w14:paraId="3B45219C" w14:textId="58B5DD50" w:rsidR="00A43D6E" w:rsidRDefault="000D07EC">
      <w:pPr>
        <w:pStyle w:val="a9"/>
        <w:spacing w:after="0" w:line="480" w:lineRule="auto"/>
        <w:ind w:hanging="360"/>
        <w:jc w:val="left"/>
        <w:rPr>
          <w:sz w:val="24"/>
        </w:rPr>
      </w:pPr>
      <w:r>
        <w:rPr>
          <w:sz w:val="24"/>
        </w:rPr>
        <w:t>[4</w:t>
      </w:r>
      <w:r w:rsidR="00765311">
        <w:rPr>
          <w:sz w:val="24"/>
        </w:rPr>
        <w:t>8</w:t>
      </w:r>
      <w:r>
        <w:rPr>
          <w:sz w:val="24"/>
        </w:rPr>
        <w:t xml:space="preserve">] </w:t>
      </w:r>
      <w:r w:rsidR="00A72E8F">
        <w:rPr>
          <w:sz w:val="24"/>
        </w:rPr>
        <w:t xml:space="preserve">M.J. </w:t>
      </w:r>
      <w:r>
        <w:rPr>
          <w:sz w:val="24"/>
        </w:rPr>
        <w:t xml:space="preserve">Berger, </w:t>
      </w:r>
      <w:r w:rsidR="00A72E8F">
        <w:rPr>
          <w:sz w:val="24"/>
        </w:rPr>
        <w:t xml:space="preserve">J.H. </w:t>
      </w:r>
      <w:r>
        <w:rPr>
          <w:sz w:val="24"/>
        </w:rPr>
        <w:t xml:space="preserve">Hubbell, </w:t>
      </w:r>
      <w:r w:rsidR="00A72E8F">
        <w:rPr>
          <w:sz w:val="24"/>
        </w:rPr>
        <w:t xml:space="preserve">S.M. </w:t>
      </w:r>
      <w:r>
        <w:rPr>
          <w:sz w:val="24"/>
        </w:rPr>
        <w:t xml:space="preserve">Seltzer, </w:t>
      </w:r>
      <w:r w:rsidR="00656851">
        <w:rPr>
          <w:sz w:val="24"/>
        </w:rPr>
        <w:t xml:space="preserve">J.  </w:t>
      </w:r>
      <w:r>
        <w:rPr>
          <w:sz w:val="24"/>
        </w:rPr>
        <w:t xml:space="preserve">Chang, </w:t>
      </w:r>
      <w:r w:rsidR="00656851">
        <w:rPr>
          <w:sz w:val="24"/>
        </w:rPr>
        <w:t xml:space="preserve">J.S. </w:t>
      </w:r>
      <w:r>
        <w:rPr>
          <w:sz w:val="24"/>
        </w:rPr>
        <w:t xml:space="preserve">Coursey, </w:t>
      </w:r>
      <w:r w:rsidR="00656851">
        <w:rPr>
          <w:sz w:val="24"/>
        </w:rPr>
        <w:t xml:space="preserve">R. </w:t>
      </w:r>
      <w:r>
        <w:rPr>
          <w:sz w:val="24"/>
        </w:rPr>
        <w:t xml:space="preserve">Sukumar, </w:t>
      </w:r>
      <w:r w:rsidR="00656851">
        <w:rPr>
          <w:sz w:val="24"/>
        </w:rPr>
        <w:t xml:space="preserve">D.S. </w:t>
      </w:r>
      <w:r>
        <w:rPr>
          <w:sz w:val="24"/>
        </w:rPr>
        <w:t xml:space="preserve">Zucker, </w:t>
      </w:r>
      <w:r w:rsidR="00656851">
        <w:rPr>
          <w:sz w:val="24"/>
        </w:rPr>
        <w:t xml:space="preserve">K. </w:t>
      </w:r>
      <w:proofErr w:type="gramStart"/>
      <w:r>
        <w:rPr>
          <w:sz w:val="24"/>
        </w:rPr>
        <w:t>Olson,  XCOM</w:t>
      </w:r>
      <w:proofErr w:type="gramEnd"/>
      <w:r>
        <w:rPr>
          <w:sz w:val="24"/>
        </w:rPr>
        <w:t>: Photon Cross Sections Database</w:t>
      </w:r>
      <w:r w:rsidR="00656851">
        <w:rPr>
          <w:sz w:val="24"/>
        </w:rPr>
        <w:t>,</w:t>
      </w:r>
      <w:r>
        <w:rPr>
          <w:sz w:val="24"/>
        </w:rPr>
        <w:t xml:space="preserve"> National Institute of Standards and Technology</w:t>
      </w:r>
      <w:r w:rsidR="00656851">
        <w:rPr>
          <w:sz w:val="24"/>
        </w:rPr>
        <w:t>,</w:t>
      </w:r>
      <w:r w:rsidR="00656851" w:rsidRPr="00656851">
        <w:rPr>
          <w:sz w:val="24"/>
        </w:rPr>
        <w:t xml:space="preserve"> </w:t>
      </w:r>
      <w:r w:rsidR="00656851">
        <w:rPr>
          <w:sz w:val="24"/>
        </w:rPr>
        <w:t>1998.</w:t>
      </w:r>
    </w:p>
    <w:p w14:paraId="3B45219F" w14:textId="66DC2861" w:rsidR="00A43D6E" w:rsidRPr="001251A1" w:rsidRDefault="000D07EC" w:rsidP="001251A1">
      <w:pPr>
        <w:pStyle w:val="a9"/>
        <w:spacing w:after="0" w:line="480" w:lineRule="auto"/>
        <w:ind w:hanging="360"/>
        <w:jc w:val="left"/>
        <w:rPr>
          <w:sz w:val="24"/>
        </w:rPr>
      </w:pPr>
      <w:r>
        <w:rPr>
          <w:sz w:val="24"/>
        </w:rPr>
        <w:t xml:space="preserve"> </w:t>
      </w:r>
      <w:r w:rsidR="001251A1">
        <w:rPr>
          <w:sz w:val="24"/>
        </w:rPr>
        <w:t>[</w:t>
      </w:r>
      <w:r w:rsidR="00765311">
        <w:rPr>
          <w:sz w:val="24"/>
        </w:rPr>
        <w:t>49</w:t>
      </w:r>
      <w:r w:rsidR="001251A1">
        <w:rPr>
          <w:sz w:val="24"/>
        </w:rPr>
        <w:t xml:space="preserve">] </w:t>
      </w:r>
      <w:r w:rsidR="00656851">
        <w:rPr>
          <w:sz w:val="24"/>
        </w:rPr>
        <w:t xml:space="preserve">J.F. </w:t>
      </w:r>
      <w:proofErr w:type="spellStart"/>
      <w:r w:rsidR="001251A1">
        <w:rPr>
          <w:sz w:val="24"/>
        </w:rPr>
        <w:t>Briesmeister</w:t>
      </w:r>
      <w:proofErr w:type="spellEnd"/>
      <w:r w:rsidR="001251A1">
        <w:rPr>
          <w:sz w:val="24"/>
        </w:rPr>
        <w:t>, MCNP-A general Monte Carlo N-</w:t>
      </w:r>
      <w:proofErr w:type="spellStart"/>
      <w:r w:rsidR="001251A1">
        <w:rPr>
          <w:sz w:val="24"/>
        </w:rPr>
        <w:t>particli</w:t>
      </w:r>
      <w:proofErr w:type="spellEnd"/>
      <w:r w:rsidR="001251A1">
        <w:rPr>
          <w:sz w:val="24"/>
        </w:rPr>
        <w:t xml:space="preserve"> transport code. LA-12625-M, 1993.</w:t>
      </w:r>
    </w:p>
    <w:p w14:paraId="3B4521C1" w14:textId="62B71141" w:rsidR="00A43D6E" w:rsidRPr="00432F68" w:rsidRDefault="000D07EC" w:rsidP="00432F68">
      <w:pPr>
        <w:pStyle w:val="a9"/>
        <w:spacing w:after="200" w:line="480" w:lineRule="auto"/>
        <w:ind w:hanging="360"/>
        <w:jc w:val="left"/>
        <w:rPr>
          <w:sz w:val="24"/>
        </w:rPr>
      </w:pPr>
      <w:r>
        <w:rPr>
          <w:sz w:val="24"/>
        </w:rPr>
        <w:t>[5</w:t>
      </w:r>
      <w:r w:rsidR="00765311">
        <w:rPr>
          <w:sz w:val="24"/>
        </w:rPr>
        <w:t>0</w:t>
      </w:r>
      <w:r>
        <w:rPr>
          <w:sz w:val="24"/>
        </w:rPr>
        <w:t xml:space="preserve">] </w:t>
      </w:r>
      <w:r w:rsidR="00656851">
        <w:rPr>
          <w:sz w:val="24"/>
        </w:rPr>
        <w:t xml:space="preserve">D. </w:t>
      </w:r>
      <w:r w:rsidR="00EB3CA0">
        <w:rPr>
          <w:sz w:val="24"/>
        </w:rPr>
        <w:t xml:space="preserve">Bednár, </w:t>
      </w:r>
      <w:r w:rsidR="00656851">
        <w:rPr>
          <w:sz w:val="24"/>
        </w:rPr>
        <w:t xml:space="preserve">M. </w:t>
      </w:r>
      <w:proofErr w:type="spellStart"/>
      <w:r w:rsidR="00EB3CA0">
        <w:rPr>
          <w:sz w:val="24"/>
        </w:rPr>
        <w:t>Lištjak</w:t>
      </w:r>
      <w:proofErr w:type="spellEnd"/>
      <w:r w:rsidR="00EB3CA0">
        <w:rPr>
          <w:sz w:val="24"/>
        </w:rPr>
        <w:t xml:space="preserve">, </w:t>
      </w:r>
      <w:r w:rsidR="00656851">
        <w:rPr>
          <w:sz w:val="24"/>
        </w:rPr>
        <w:t xml:space="preserve">A. </w:t>
      </w:r>
      <w:proofErr w:type="spellStart"/>
      <w:r w:rsidR="00EB3CA0">
        <w:rPr>
          <w:sz w:val="24"/>
        </w:rPr>
        <w:t>Slimák</w:t>
      </w:r>
      <w:proofErr w:type="spellEnd"/>
      <w:r w:rsidR="00EB3CA0">
        <w:rPr>
          <w:sz w:val="24"/>
        </w:rPr>
        <w:t xml:space="preserve">, </w:t>
      </w:r>
      <w:r w:rsidR="00656851">
        <w:rPr>
          <w:sz w:val="24"/>
        </w:rPr>
        <w:t xml:space="preserve">V. </w:t>
      </w:r>
      <w:proofErr w:type="gramStart"/>
      <w:r w:rsidR="00EB3CA0">
        <w:rPr>
          <w:sz w:val="24"/>
        </w:rPr>
        <w:t xml:space="preserve">Nečas, </w:t>
      </w:r>
      <w:r w:rsidR="00EB3CA0">
        <w:rPr>
          <w:rFonts w:ascii="Calibri" w:eastAsia="Calibri" w:hAnsi="Calibri" w:cs="Calibri"/>
          <w:sz w:val="22"/>
        </w:rPr>
        <w:t xml:space="preserve"> </w:t>
      </w:r>
      <w:r w:rsidR="00EB3CA0">
        <w:rPr>
          <w:sz w:val="24"/>
        </w:rPr>
        <w:t>Comparison</w:t>
      </w:r>
      <w:proofErr w:type="gramEnd"/>
      <w:r w:rsidR="00EB3CA0">
        <w:rPr>
          <w:sz w:val="24"/>
        </w:rPr>
        <w:t xml:space="preserve"> of MCNP and VISIPLAN dose-field calculations for multilayer shielding</w:t>
      </w:r>
      <w:r w:rsidR="00656851">
        <w:rPr>
          <w:sz w:val="24"/>
        </w:rPr>
        <w:t>,</w:t>
      </w:r>
      <w:r w:rsidR="00EB3CA0">
        <w:rPr>
          <w:sz w:val="24"/>
        </w:rPr>
        <w:t xml:space="preserve"> Rad. Protect. </w:t>
      </w:r>
      <w:proofErr w:type="spellStart"/>
      <w:r w:rsidR="00EB3CA0">
        <w:rPr>
          <w:sz w:val="24"/>
        </w:rPr>
        <w:t>Dosim</w:t>
      </w:r>
      <w:proofErr w:type="spellEnd"/>
      <w:r w:rsidR="00EB3CA0">
        <w:rPr>
          <w:sz w:val="24"/>
        </w:rPr>
        <w:t xml:space="preserve">. 186 </w:t>
      </w:r>
      <w:r w:rsidR="00656851">
        <w:rPr>
          <w:sz w:val="24"/>
        </w:rPr>
        <w:t xml:space="preserve">(2019) </w:t>
      </w:r>
      <w:r w:rsidR="00EB3CA0">
        <w:rPr>
          <w:sz w:val="24"/>
        </w:rPr>
        <w:t xml:space="preserve">310–314. </w:t>
      </w:r>
      <w:hyperlink r:id="rId32" w:history="1">
        <w:r w:rsidR="00EB3CA0">
          <w:rPr>
            <w:rStyle w:val="a8"/>
            <w:sz w:val="24"/>
          </w:rPr>
          <w:t>https://doi.org/10.1093/rpd/ncz224</w:t>
        </w:r>
      </w:hyperlink>
      <w:r w:rsidR="00EB3CA0">
        <w:rPr>
          <w:sz w:val="24"/>
        </w:rPr>
        <w:t xml:space="preserve">. </w:t>
      </w:r>
    </w:p>
    <w:p w14:paraId="3B4521C3" w14:textId="112400F2" w:rsidR="00A43D6E" w:rsidRPr="00432F68" w:rsidRDefault="000D07EC" w:rsidP="00432F68">
      <w:pPr>
        <w:pStyle w:val="a9"/>
        <w:spacing w:after="200" w:line="480" w:lineRule="auto"/>
        <w:ind w:hanging="360"/>
        <w:jc w:val="left"/>
        <w:rPr>
          <w:sz w:val="24"/>
        </w:rPr>
      </w:pPr>
      <w:r>
        <w:rPr>
          <w:sz w:val="24"/>
        </w:rPr>
        <w:t>[5</w:t>
      </w:r>
      <w:r w:rsidR="00765311">
        <w:rPr>
          <w:sz w:val="24"/>
        </w:rPr>
        <w:t>1</w:t>
      </w:r>
      <w:r>
        <w:rPr>
          <w:sz w:val="24"/>
        </w:rPr>
        <w:t xml:space="preserve">] </w:t>
      </w:r>
      <w:r w:rsidR="00656851">
        <w:rPr>
          <w:sz w:val="24"/>
        </w:rPr>
        <w:t xml:space="preserve">B.M. </w:t>
      </w:r>
      <w:r w:rsidR="00EB3CA0">
        <w:rPr>
          <w:sz w:val="24"/>
        </w:rPr>
        <w:t xml:space="preserve">Mendes, </w:t>
      </w:r>
      <w:r w:rsidR="00656851">
        <w:rPr>
          <w:sz w:val="24"/>
        </w:rPr>
        <w:t xml:space="preserve">P.C.G. </w:t>
      </w:r>
      <w:r w:rsidR="00EB3CA0">
        <w:rPr>
          <w:sz w:val="24"/>
        </w:rPr>
        <w:t xml:space="preserve"> Antunes, </w:t>
      </w:r>
      <w:r w:rsidR="00656851">
        <w:rPr>
          <w:sz w:val="24"/>
        </w:rPr>
        <w:t xml:space="preserve">I.S.L. </w:t>
      </w:r>
      <w:r w:rsidR="00EB3CA0">
        <w:rPr>
          <w:sz w:val="24"/>
        </w:rPr>
        <w:t xml:space="preserve">Branco, </w:t>
      </w:r>
      <w:r w:rsidR="00656851">
        <w:rPr>
          <w:sz w:val="24"/>
        </w:rPr>
        <w:t xml:space="preserve">E. </w:t>
      </w:r>
      <w:r w:rsidR="00EB3CA0">
        <w:rPr>
          <w:sz w:val="24"/>
        </w:rPr>
        <w:t xml:space="preserve">do Nascimento, </w:t>
      </w:r>
      <w:r w:rsidR="00656851">
        <w:rPr>
          <w:sz w:val="24"/>
        </w:rPr>
        <w:t xml:space="preserve">B. </w:t>
      </w:r>
      <w:proofErr w:type="spellStart"/>
      <w:proofErr w:type="gramStart"/>
      <w:r w:rsidR="00EB3CA0">
        <w:rPr>
          <w:sz w:val="24"/>
        </w:rPr>
        <w:t>Seniwal</w:t>
      </w:r>
      <w:proofErr w:type="spellEnd"/>
      <w:r w:rsidR="00EB3CA0">
        <w:rPr>
          <w:sz w:val="24"/>
        </w:rPr>
        <w:t xml:space="preserve">,  </w:t>
      </w:r>
      <w:r w:rsidR="00656851">
        <w:rPr>
          <w:sz w:val="24"/>
        </w:rPr>
        <w:t>T.C.F.</w:t>
      </w:r>
      <w:proofErr w:type="gramEnd"/>
      <w:r w:rsidR="00656851">
        <w:rPr>
          <w:sz w:val="24"/>
        </w:rPr>
        <w:t xml:space="preserve"> </w:t>
      </w:r>
      <w:r w:rsidR="00EB3CA0">
        <w:rPr>
          <w:sz w:val="24"/>
        </w:rPr>
        <w:t xml:space="preserve">Fonseca, </w:t>
      </w:r>
      <w:r w:rsidR="00656851">
        <w:rPr>
          <w:sz w:val="24"/>
        </w:rPr>
        <w:t xml:space="preserve">H. </w:t>
      </w:r>
      <w:proofErr w:type="spellStart"/>
      <w:r w:rsidR="00EB3CA0">
        <w:rPr>
          <w:sz w:val="24"/>
        </w:rPr>
        <w:t>Yoriyaz</w:t>
      </w:r>
      <w:proofErr w:type="spellEnd"/>
      <w:r w:rsidR="00EB3CA0">
        <w:rPr>
          <w:sz w:val="24"/>
        </w:rPr>
        <w:t xml:space="preserve">,  Calculation of dose point kernel values for monoenergetic electrons and beta emitting radionuclides: intercomparison of Monte Carlo codes. </w:t>
      </w:r>
      <w:proofErr w:type="spellStart"/>
      <w:r w:rsidR="00EB3CA0">
        <w:rPr>
          <w:sz w:val="24"/>
        </w:rPr>
        <w:t>Radiat</w:t>
      </w:r>
      <w:proofErr w:type="spellEnd"/>
      <w:r w:rsidR="00EB3CA0">
        <w:rPr>
          <w:sz w:val="24"/>
        </w:rPr>
        <w:t xml:space="preserve">. Phys. Chem. 181 </w:t>
      </w:r>
      <w:r w:rsidR="00656851">
        <w:rPr>
          <w:sz w:val="24"/>
        </w:rPr>
        <w:t xml:space="preserve">(2021) </w:t>
      </w:r>
      <w:r w:rsidR="00EB3CA0">
        <w:rPr>
          <w:sz w:val="24"/>
        </w:rPr>
        <w:t xml:space="preserve">109327. </w:t>
      </w:r>
      <w:hyperlink r:id="rId33" w:history="1">
        <w:r w:rsidR="00EB3CA0">
          <w:rPr>
            <w:rStyle w:val="a8"/>
            <w:sz w:val="24"/>
          </w:rPr>
          <w:t>https://doi.org/10.1016/j.radphyschem.2020.109327</w:t>
        </w:r>
      </w:hyperlink>
      <w:r w:rsidR="00EB3CA0">
        <w:rPr>
          <w:sz w:val="24"/>
        </w:rPr>
        <w:t xml:space="preserve">. </w:t>
      </w:r>
    </w:p>
    <w:p w14:paraId="3B4521C4" w14:textId="03C98D2F" w:rsidR="00A43D6E" w:rsidRDefault="00A43D6E">
      <w:pPr>
        <w:pStyle w:val="a9"/>
        <w:spacing w:after="0" w:line="480" w:lineRule="auto"/>
        <w:ind w:hanging="360"/>
        <w:jc w:val="left"/>
        <w:rPr>
          <w:sz w:val="24"/>
        </w:rPr>
      </w:pPr>
    </w:p>
    <w:p w14:paraId="3B4521C6" w14:textId="503F96D4" w:rsidR="00A43D6E" w:rsidRDefault="00A43D6E">
      <w:pPr>
        <w:pStyle w:val="a9"/>
        <w:spacing w:after="0" w:line="480" w:lineRule="auto"/>
        <w:ind w:hanging="360"/>
        <w:jc w:val="left"/>
        <w:rPr>
          <w:sz w:val="24"/>
        </w:rPr>
      </w:pPr>
    </w:p>
    <w:p w14:paraId="7C907B17" w14:textId="77777777" w:rsidR="00582B46" w:rsidRDefault="000D07EC" w:rsidP="00582B46">
      <w:pPr>
        <w:widowControl/>
        <w:jc w:val="left"/>
        <w:rPr>
          <w:b/>
          <w:bCs/>
          <w:sz w:val="24"/>
          <w:szCs w:val="24"/>
        </w:rPr>
      </w:pPr>
      <w:r>
        <w:rPr>
          <w:b/>
          <w:bCs/>
          <w:sz w:val="24"/>
          <w:szCs w:val="24"/>
        </w:rPr>
        <w:lastRenderedPageBreak/>
        <w:t>Figure captions</w:t>
      </w:r>
    </w:p>
    <w:p w14:paraId="4DCF1F4F" w14:textId="3785330C" w:rsidR="00582B46" w:rsidRDefault="000D07EC" w:rsidP="0095218C">
      <w:pPr>
        <w:pStyle w:val="af2"/>
        <w:rPr>
          <w:b w:val="0"/>
          <w:sz w:val="24"/>
          <w:szCs w:val="24"/>
          <w:lang w:eastAsia="ko-KR"/>
        </w:rPr>
      </w:pPr>
      <w:bookmarkStart w:id="1" w:name="_Ref171324266"/>
      <w:bookmarkStart w:id="2" w:name="_Ref171324209"/>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1</w:t>
      </w:r>
      <w:r w:rsidRPr="001967BE">
        <w:rPr>
          <w:sz w:val="24"/>
          <w:szCs w:val="24"/>
        </w:rPr>
        <w:fldChar w:fldCharType="end"/>
      </w:r>
      <w:bookmarkEnd w:id="1"/>
      <w:r w:rsidRPr="001967BE">
        <w:rPr>
          <w:b w:val="0"/>
          <w:sz w:val="24"/>
          <w:szCs w:val="24"/>
        </w:rPr>
        <w:t xml:space="preserve"> Comprehensive dose assessment algorithm of Recycling-Underlying Computational Dose Assessment Software (RUCAS).</w:t>
      </w:r>
      <w:bookmarkEnd w:id="2"/>
    </w:p>
    <w:p w14:paraId="1DF10094" w14:textId="4C656665" w:rsidR="00582B46" w:rsidRDefault="000D07EC" w:rsidP="0095218C">
      <w:pPr>
        <w:pStyle w:val="af2"/>
        <w:rPr>
          <w:b w:val="0"/>
          <w:sz w:val="24"/>
          <w:szCs w:val="24"/>
        </w:rPr>
      </w:pPr>
      <w:bookmarkStart w:id="3" w:name="_Ref171324252"/>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2</w:t>
      </w:r>
      <w:r w:rsidRPr="001967BE">
        <w:rPr>
          <w:sz w:val="24"/>
          <w:szCs w:val="24"/>
        </w:rPr>
        <w:fldChar w:fldCharType="end"/>
      </w:r>
      <w:bookmarkEnd w:id="3"/>
      <w:r w:rsidRPr="001967BE">
        <w:rPr>
          <w:b w:val="0"/>
          <w:sz w:val="24"/>
          <w:szCs w:val="24"/>
        </w:rPr>
        <w:t xml:space="preserve"> Interface of the scenario editor in RUCAS.</w:t>
      </w:r>
    </w:p>
    <w:p w14:paraId="41AFF04D" w14:textId="0CC78C42" w:rsidR="00582B46" w:rsidRDefault="000D07EC" w:rsidP="0095218C">
      <w:pPr>
        <w:pStyle w:val="af2"/>
        <w:rPr>
          <w:b w:val="0"/>
          <w:sz w:val="24"/>
          <w:szCs w:val="24"/>
        </w:rPr>
      </w:pPr>
      <w:bookmarkStart w:id="4" w:name="_Ref171324285"/>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3</w:t>
      </w:r>
      <w:r w:rsidRPr="001967BE">
        <w:rPr>
          <w:sz w:val="24"/>
          <w:szCs w:val="24"/>
        </w:rPr>
        <w:fldChar w:fldCharType="end"/>
      </w:r>
      <w:bookmarkEnd w:id="4"/>
      <w:r w:rsidRPr="001967BE">
        <w:rPr>
          <w:b w:val="0"/>
          <w:sz w:val="24"/>
          <w:szCs w:val="24"/>
        </w:rPr>
        <w:t xml:space="preserve"> Source sampling method for source geometry of (a) cylinder, (b) disk, (c) rectangular volume, and (d) sphere.</w:t>
      </w:r>
    </w:p>
    <w:p w14:paraId="15A29F34" w14:textId="370E7D94" w:rsidR="00582B46" w:rsidRDefault="000D07EC" w:rsidP="001967BE">
      <w:pPr>
        <w:pStyle w:val="af2"/>
        <w:rPr>
          <w:b w:val="0"/>
          <w:sz w:val="24"/>
          <w:szCs w:val="24"/>
        </w:rPr>
      </w:pPr>
      <w:bookmarkStart w:id="5" w:name="_Ref171324308"/>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4</w:t>
      </w:r>
      <w:r w:rsidRPr="001967BE">
        <w:rPr>
          <w:sz w:val="24"/>
          <w:szCs w:val="24"/>
        </w:rPr>
        <w:fldChar w:fldCharType="end"/>
      </w:r>
      <w:bookmarkEnd w:id="5"/>
      <w:r w:rsidRPr="001967BE">
        <w:rPr>
          <w:b w:val="0"/>
          <w:sz w:val="24"/>
          <w:szCs w:val="24"/>
        </w:rPr>
        <w:t xml:space="preserve"> Recycling steps for metallic radioactive waste in RUCAS.</w:t>
      </w:r>
    </w:p>
    <w:p w14:paraId="1AC25094" w14:textId="4757D9D0" w:rsidR="00582B46" w:rsidRDefault="000D07EC" w:rsidP="001967BE">
      <w:pPr>
        <w:pStyle w:val="af2"/>
        <w:rPr>
          <w:b w:val="0"/>
          <w:sz w:val="24"/>
          <w:szCs w:val="24"/>
        </w:rPr>
      </w:pPr>
      <w:bookmarkStart w:id="6" w:name="_Ref171324324"/>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5</w:t>
      </w:r>
      <w:r w:rsidRPr="001967BE">
        <w:rPr>
          <w:sz w:val="24"/>
          <w:szCs w:val="24"/>
        </w:rPr>
        <w:fldChar w:fldCharType="end"/>
      </w:r>
      <w:bookmarkEnd w:id="6"/>
      <w:r w:rsidRPr="001967BE">
        <w:rPr>
          <w:b w:val="0"/>
          <w:sz w:val="24"/>
          <w:szCs w:val="24"/>
        </w:rPr>
        <w:t xml:space="preserve"> External dose ratios of shielding and non-shielding scenarios for radionuclides (a) existing in both slag and ingot forms, such as Co-60 and Cs-137; and (b) existing only in slag form, such as Cs-134, Cs-137, and Eu-154.</w:t>
      </w:r>
    </w:p>
    <w:p w14:paraId="2B9A0A92" w14:textId="1247B048" w:rsidR="00582B46" w:rsidRDefault="000D07EC" w:rsidP="001967BE">
      <w:pPr>
        <w:pStyle w:val="af2"/>
        <w:rPr>
          <w:b w:val="0"/>
          <w:sz w:val="24"/>
          <w:szCs w:val="24"/>
        </w:rPr>
      </w:pPr>
      <w:bookmarkStart w:id="7" w:name="_Ref171324343"/>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6</w:t>
      </w:r>
      <w:r w:rsidRPr="001967BE">
        <w:rPr>
          <w:sz w:val="24"/>
          <w:szCs w:val="24"/>
        </w:rPr>
        <w:fldChar w:fldCharType="end"/>
      </w:r>
      <w:bookmarkEnd w:id="7"/>
      <w:r w:rsidRPr="001967BE">
        <w:rPr>
          <w:b w:val="0"/>
          <w:sz w:val="24"/>
          <w:szCs w:val="24"/>
        </w:rPr>
        <w:t xml:space="preserve"> Characteristics and external exposure dose ratios for different gamma emitters for recycling scenarios with 30 cm of concrete shielding.</w:t>
      </w:r>
    </w:p>
    <w:p w14:paraId="4F943D7C" w14:textId="7DD00FA2" w:rsidR="00582B46" w:rsidRDefault="000D07EC" w:rsidP="001967BE">
      <w:pPr>
        <w:pStyle w:val="af2"/>
        <w:rPr>
          <w:b w:val="0"/>
          <w:sz w:val="24"/>
          <w:szCs w:val="24"/>
        </w:rPr>
      </w:pPr>
      <w:bookmarkStart w:id="8" w:name="_Ref171324375"/>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7</w:t>
      </w:r>
      <w:r w:rsidRPr="001967BE">
        <w:rPr>
          <w:sz w:val="24"/>
          <w:szCs w:val="24"/>
        </w:rPr>
        <w:fldChar w:fldCharType="end"/>
      </w:r>
      <w:bookmarkEnd w:id="8"/>
      <w:r w:rsidRPr="001967BE">
        <w:rPr>
          <w:b w:val="0"/>
          <w:sz w:val="24"/>
          <w:szCs w:val="24"/>
        </w:rPr>
        <w:t xml:space="preserve"> Average external exposure dose ratios for gamma emitters across five source geometries.</w:t>
      </w:r>
    </w:p>
    <w:p w14:paraId="05078B9A" w14:textId="69F42520" w:rsidR="00582B46" w:rsidRDefault="000D07EC" w:rsidP="001967BE">
      <w:pPr>
        <w:pStyle w:val="af2"/>
        <w:rPr>
          <w:b w:val="0"/>
          <w:sz w:val="24"/>
          <w:szCs w:val="24"/>
        </w:rPr>
      </w:pPr>
      <w:bookmarkStart w:id="9" w:name="_Ref171324393"/>
      <w:r w:rsidRPr="001967BE">
        <w:rPr>
          <w:sz w:val="24"/>
          <w:szCs w:val="24"/>
        </w:rPr>
        <w:t xml:space="preserve">Fig. </w:t>
      </w:r>
      <w:r w:rsidRPr="001967BE">
        <w:rPr>
          <w:sz w:val="24"/>
          <w:szCs w:val="24"/>
        </w:rPr>
        <w:fldChar w:fldCharType="begin"/>
      </w:r>
      <w:r w:rsidRPr="001967BE">
        <w:rPr>
          <w:sz w:val="24"/>
          <w:szCs w:val="24"/>
        </w:rPr>
        <w:instrText xml:space="preserve"> SEQ Fig. \* ARABIC </w:instrText>
      </w:r>
      <w:r w:rsidRPr="001967BE">
        <w:rPr>
          <w:sz w:val="24"/>
          <w:szCs w:val="24"/>
        </w:rPr>
        <w:fldChar w:fldCharType="separate"/>
      </w:r>
      <w:r w:rsidR="00BF6712">
        <w:rPr>
          <w:noProof/>
          <w:sz w:val="24"/>
          <w:szCs w:val="24"/>
        </w:rPr>
        <w:t>8</w:t>
      </w:r>
      <w:r w:rsidRPr="001967BE">
        <w:rPr>
          <w:sz w:val="24"/>
          <w:szCs w:val="24"/>
        </w:rPr>
        <w:fldChar w:fldCharType="end"/>
      </w:r>
      <w:bookmarkEnd w:id="9"/>
      <w:r w:rsidRPr="001967BE">
        <w:rPr>
          <w:b w:val="0"/>
          <w:sz w:val="24"/>
          <w:szCs w:val="24"/>
        </w:rPr>
        <w:t xml:space="preserve"> External radiation dose ratios for the attenuation coefficients of reference concretes.</w:t>
      </w:r>
    </w:p>
    <w:p w14:paraId="6D7F3227" w14:textId="0512AC28" w:rsidR="0089378A" w:rsidRPr="001967BE" w:rsidRDefault="0089378A" w:rsidP="001967BE">
      <w:pPr>
        <w:pStyle w:val="af2"/>
        <w:rPr>
          <w:b w:val="0"/>
          <w:bCs/>
          <w:sz w:val="24"/>
          <w:szCs w:val="24"/>
        </w:rPr>
      </w:pPr>
    </w:p>
    <w:p w14:paraId="5FF9B0D3" w14:textId="2A737BD6" w:rsidR="00582B46" w:rsidRDefault="000D07EC">
      <w:pPr>
        <w:widowControl/>
        <w:spacing w:after="0" w:line="240" w:lineRule="auto"/>
        <w:jc w:val="left"/>
        <w:rPr>
          <w:b/>
          <w:sz w:val="24"/>
          <w:lang w:eastAsia="ko-KR"/>
        </w:rPr>
      </w:pPr>
      <w:r>
        <w:rPr>
          <w:b/>
          <w:sz w:val="24"/>
          <w:lang w:eastAsia="ko-KR"/>
        </w:rPr>
        <w:br w:type="page"/>
      </w:r>
    </w:p>
    <w:p w14:paraId="3B4521CD" w14:textId="32E4CF6D" w:rsidR="00A43D6E" w:rsidRDefault="000D07EC">
      <w:pPr>
        <w:pStyle w:val="af2"/>
        <w:jc w:val="left"/>
        <w:rPr>
          <w:sz w:val="24"/>
        </w:rPr>
      </w:pPr>
      <w:r>
        <w:rPr>
          <w:sz w:val="24"/>
        </w:rPr>
        <w:lastRenderedPageBreak/>
        <w:t>Tables</w:t>
      </w:r>
    </w:p>
    <w:p w14:paraId="3B4521CE" w14:textId="15B22FE1" w:rsidR="00A43D6E" w:rsidRDefault="000D07EC" w:rsidP="00371310">
      <w:pPr>
        <w:pStyle w:val="af2"/>
        <w:rPr>
          <w:sz w:val="24"/>
        </w:rPr>
      </w:pPr>
      <w:bookmarkStart w:id="10" w:name="_Ref171325902"/>
      <w:r w:rsidRPr="00371310">
        <w:rPr>
          <w:sz w:val="24"/>
          <w:szCs w:val="24"/>
        </w:rPr>
        <w:t xml:space="preserve">Table </w:t>
      </w:r>
      <w:r w:rsidRPr="00371310">
        <w:rPr>
          <w:sz w:val="24"/>
          <w:szCs w:val="24"/>
        </w:rPr>
        <w:fldChar w:fldCharType="begin"/>
      </w:r>
      <w:r w:rsidRPr="00371310">
        <w:rPr>
          <w:sz w:val="24"/>
          <w:szCs w:val="24"/>
        </w:rPr>
        <w:instrText xml:space="preserve"> SEQ Table \* ARABIC </w:instrText>
      </w:r>
      <w:r w:rsidRPr="00371310">
        <w:rPr>
          <w:sz w:val="24"/>
          <w:szCs w:val="24"/>
        </w:rPr>
        <w:fldChar w:fldCharType="separate"/>
      </w:r>
      <w:r w:rsidR="00910F9D">
        <w:rPr>
          <w:noProof/>
          <w:sz w:val="24"/>
          <w:szCs w:val="24"/>
        </w:rPr>
        <w:t>1</w:t>
      </w:r>
      <w:r w:rsidRPr="00371310">
        <w:rPr>
          <w:sz w:val="24"/>
          <w:szCs w:val="24"/>
        </w:rPr>
        <w:fldChar w:fldCharType="end"/>
      </w:r>
      <w:bookmarkEnd w:id="10"/>
      <w:r w:rsidR="00F33CE8">
        <w:rPr>
          <w:sz w:val="24"/>
        </w:rPr>
        <w:t xml:space="preserve"> </w:t>
      </w:r>
      <w:r w:rsidR="00F33CE8">
        <w:rPr>
          <w:b w:val="0"/>
          <w:sz w:val="24"/>
        </w:rPr>
        <w:t>Source geometries supported in RUCAS.</w:t>
      </w:r>
    </w:p>
    <w:tbl>
      <w:tblPr>
        <w:tblStyle w:val="a3"/>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374"/>
        <w:gridCol w:w="2374"/>
      </w:tblGrid>
      <w:tr w:rsidR="00DD1F3F" w14:paraId="3B4521D1" w14:textId="77777777" w:rsidTr="004C18D2">
        <w:trPr>
          <w:trHeight w:val="441"/>
        </w:trPr>
        <w:tc>
          <w:tcPr>
            <w:tcW w:w="2374" w:type="dxa"/>
            <w:tcBorders>
              <w:top w:val="single" w:sz="12" w:space="0" w:color="auto"/>
              <w:left w:val="nil"/>
              <w:bottom w:val="single" w:sz="4" w:space="0" w:color="auto"/>
              <w:right w:val="nil"/>
            </w:tcBorders>
            <w:vAlign w:val="center"/>
          </w:tcPr>
          <w:p w14:paraId="3B4521CF" w14:textId="77777777" w:rsidR="00A43D6E" w:rsidRDefault="000D07EC" w:rsidP="004C18D2">
            <w:pPr>
              <w:spacing w:after="0" w:line="240" w:lineRule="auto"/>
              <w:jc w:val="center"/>
              <w:rPr>
                <w:color w:val="000000"/>
                <w:sz w:val="24"/>
              </w:rPr>
            </w:pPr>
            <w:r>
              <w:rPr>
                <w:color w:val="000000"/>
                <w:sz w:val="24"/>
              </w:rPr>
              <w:t>Cylinder</w:t>
            </w:r>
          </w:p>
        </w:tc>
        <w:tc>
          <w:tcPr>
            <w:tcW w:w="2374" w:type="dxa"/>
            <w:tcBorders>
              <w:top w:val="single" w:sz="12" w:space="0" w:color="auto"/>
              <w:left w:val="nil"/>
              <w:bottom w:val="single" w:sz="4" w:space="0" w:color="auto"/>
              <w:right w:val="nil"/>
            </w:tcBorders>
            <w:vAlign w:val="center"/>
          </w:tcPr>
          <w:p w14:paraId="3B4521D0" w14:textId="77777777" w:rsidR="00A43D6E" w:rsidRDefault="000D07EC" w:rsidP="004C18D2">
            <w:pPr>
              <w:spacing w:after="0" w:line="240" w:lineRule="auto"/>
              <w:jc w:val="center"/>
              <w:rPr>
                <w:color w:val="000000"/>
                <w:sz w:val="24"/>
              </w:rPr>
            </w:pPr>
            <w:r>
              <w:rPr>
                <w:color w:val="000000"/>
                <w:sz w:val="24"/>
              </w:rPr>
              <w:t>Sphere</w:t>
            </w:r>
          </w:p>
        </w:tc>
      </w:tr>
      <w:tr w:rsidR="00DD1F3F" w14:paraId="3B4521D4" w14:textId="77777777" w:rsidTr="004C18D2">
        <w:trPr>
          <w:trHeight w:val="441"/>
        </w:trPr>
        <w:tc>
          <w:tcPr>
            <w:tcW w:w="2374" w:type="dxa"/>
            <w:tcBorders>
              <w:top w:val="single" w:sz="4" w:space="0" w:color="auto"/>
              <w:left w:val="nil"/>
              <w:bottom w:val="single" w:sz="4" w:space="0" w:color="auto"/>
              <w:right w:val="nil"/>
            </w:tcBorders>
            <w:vAlign w:val="center"/>
          </w:tcPr>
          <w:p w14:paraId="3B4521D2" w14:textId="5C66A9CF" w:rsidR="00A43D6E" w:rsidRDefault="000D07EC" w:rsidP="004C18D2">
            <w:pPr>
              <w:widowControl/>
              <w:spacing w:after="0" w:line="240" w:lineRule="auto"/>
              <w:jc w:val="center"/>
              <w:rPr>
                <w:color w:val="000000"/>
                <w:sz w:val="24"/>
              </w:rPr>
            </w:pPr>
            <w:r>
              <w:rPr>
                <w:color w:val="000000"/>
                <w:sz w:val="24"/>
              </w:rPr>
              <w:t xml:space="preserve">Half </w:t>
            </w:r>
            <w:r w:rsidR="008D705F">
              <w:rPr>
                <w:color w:val="000000"/>
                <w:sz w:val="24"/>
              </w:rPr>
              <w:t>cylinder</w:t>
            </w:r>
          </w:p>
        </w:tc>
        <w:tc>
          <w:tcPr>
            <w:tcW w:w="2374" w:type="dxa"/>
            <w:tcBorders>
              <w:top w:val="single" w:sz="4" w:space="0" w:color="auto"/>
              <w:left w:val="nil"/>
              <w:bottom w:val="single" w:sz="4" w:space="0" w:color="auto"/>
              <w:right w:val="nil"/>
            </w:tcBorders>
            <w:vAlign w:val="center"/>
          </w:tcPr>
          <w:p w14:paraId="3B4521D3" w14:textId="7C5C0346" w:rsidR="00A43D6E" w:rsidRDefault="000D07EC" w:rsidP="004C18D2">
            <w:pPr>
              <w:widowControl/>
              <w:spacing w:after="0" w:line="240" w:lineRule="auto"/>
              <w:jc w:val="center"/>
              <w:rPr>
                <w:color w:val="000000"/>
                <w:sz w:val="24"/>
              </w:rPr>
            </w:pPr>
            <w:r>
              <w:rPr>
                <w:color w:val="000000"/>
                <w:sz w:val="24"/>
              </w:rPr>
              <w:t xml:space="preserve">Annular </w:t>
            </w:r>
            <w:r w:rsidR="008D705F">
              <w:rPr>
                <w:color w:val="000000"/>
                <w:sz w:val="24"/>
              </w:rPr>
              <w:t>cylinder</w:t>
            </w:r>
          </w:p>
        </w:tc>
      </w:tr>
      <w:tr w:rsidR="00DD1F3F" w14:paraId="3B4521D7" w14:textId="77777777" w:rsidTr="004C18D2">
        <w:trPr>
          <w:trHeight w:val="441"/>
        </w:trPr>
        <w:tc>
          <w:tcPr>
            <w:tcW w:w="2374" w:type="dxa"/>
            <w:tcBorders>
              <w:left w:val="nil"/>
              <w:bottom w:val="single" w:sz="4" w:space="0" w:color="auto"/>
              <w:right w:val="nil"/>
            </w:tcBorders>
            <w:vAlign w:val="center"/>
          </w:tcPr>
          <w:p w14:paraId="3B4521D5" w14:textId="77777777" w:rsidR="00A43D6E" w:rsidRDefault="000D07EC" w:rsidP="004C18D2">
            <w:pPr>
              <w:widowControl/>
              <w:spacing w:after="0" w:line="240" w:lineRule="auto"/>
              <w:jc w:val="center"/>
              <w:rPr>
                <w:color w:val="000000"/>
                <w:sz w:val="24"/>
              </w:rPr>
            </w:pPr>
            <w:r>
              <w:rPr>
                <w:color w:val="000000"/>
                <w:sz w:val="24"/>
              </w:rPr>
              <w:t>Disk</w:t>
            </w:r>
          </w:p>
        </w:tc>
        <w:tc>
          <w:tcPr>
            <w:tcW w:w="2374" w:type="dxa"/>
            <w:tcBorders>
              <w:left w:val="nil"/>
              <w:bottom w:val="single" w:sz="4" w:space="0" w:color="auto"/>
              <w:right w:val="nil"/>
            </w:tcBorders>
            <w:vAlign w:val="center"/>
          </w:tcPr>
          <w:p w14:paraId="3B4521D6" w14:textId="4AB0ED02" w:rsidR="00A43D6E" w:rsidRDefault="000D07EC" w:rsidP="004C18D2">
            <w:pPr>
              <w:widowControl/>
              <w:spacing w:after="0" w:line="240" w:lineRule="auto"/>
              <w:jc w:val="center"/>
              <w:rPr>
                <w:color w:val="000000"/>
                <w:sz w:val="24"/>
              </w:rPr>
            </w:pPr>
            <w:r>
              <w:rPr>
                <w:color w:val="000000"/>
                <w:sz w:val="24"/>
              </w:rPr>
              <w:t xml:space="preserve">Half </w:t>
            </w:r>
            <w:r w:rsidR="008D705F">
              <w:rPr>
                <w:color w:val="000000"/>
                <w:sz w:val="24"/>
              </w:rPr>
              <w:t>disk</w:t>
            </w:r>
          </w:p>
        </w:tc>
      </w:tr>
      <w:tr w:rsidR="00DD1F3F" w14:paraId="3B4521DA" w14:textId="77777777" w:rsidTr="004C18D2">
        <w:trPr>
          <w:trHeight w:val="441"/>
        </w:trPr>
        <w:tc>
          <w:tcPr>
            <w:tcW w:w="2374" w:type="dxa"/>
            <w:tcBorders>
              <w:left w:val="nil"/>
              <w:bottom w:val="single" w:sz="4" w:space="0" w:color="auto"/>
              <w:right w:val="nil"/>
            </w:tcBorders>
            <w:vAlign w:val="center"/>
          </w:tcPr>
          <w:p w14:paraId="3B4521D8" w14:textId="77777777" w:rsidR="00A43D6E" w:rsidRDefault="000D07EC" w:rsidP="004C18D2">
            <w:pPr>
              <w:widowControl/>
              <w:spacing w:after="0" w:line="240" w:lineRule="auto"/>
              <w:jc w:val="center"/>
              <w:rPr>
                <w:color w:val="000000"/>
                <w:sz w:val="24"/>
              </w:rPr>
            </w:pPr>
            <w:r>
              <w:rPr>
                <w:color w:val="000000"/>
                <w:sz w:val="24"/>
              </w:rPr>
              <w:t>Line</w:t>
            </w:r>
          </w:p>
        </w:tc>
        <w:tc>
          <w:tcPr>
            <w:tcW w:w="2374" w:type="dxa"/>
            <w:tcBorders>
              <w:left w:val="nil"/>
              <w:bottom w:val="single" w:sz="4" w:space="0" w:color="auto"/>
              <w:right w:val="nil"/>
            </w:tcBorders>
            <w:vAlign w:val="center"/>
          </w:tcPr>
          <w:p w14:paraId="3B4521D9" w14:textId="290A7485" w:rsidR="00A43D6E" w:rsidRDefault="000D07EC" w:rsidP="004C18D2">
            <w:pPr>
              <w:widowControl/>
              <w:spacing w:after="0" w:line="240" w:lineRule="auto"/>
              <w:jc w:val="center"/>
              <w:rPr>
                <w:color w:val="000000"/>
                <w:sz w:val="24"/>
              </w:rPr>
            </w:pPr>
            <w:r>
              <w:rPr>
                <w:color w:val="000000"/>
                <w:sz w:val="24"/>
              </w:rPr>
              <w:t xml:space="preserve">Half </w:t>
            </w:r>
            <w:r w:rsidR="008D705F">
              <w:rPr>
                <w:color w:val="000000"/>
                <w:sz w:val="24"/>
              </w:rPr>
              <w:t>sphere</w:t>
            </w:r>
          </w:p>
        </w:tc>
      </w:tr>
      <w:tr w:rsidR="00DD1F3F" w14:paraId="3B4521DD" w14:textId="77777777" w:rsidTr="004C18D2">
        <w:trPr>
          <w:trHeight w:val="441"/>
        </w:trPr>
        <w:tc>
          <w:tcPr>
            <w:tcW w:w="2374" w:type="dxa"/>
            <w:tcBorders>
              <w:left w:val="nil"/>
              <w:bottom w:val="single" w:sz="12" w:space="0" w:color="auto"/>
              <w:right w:val="nil"/>
            </w:tcBorders>
            <w:vAlign w:val="center"/>
          </w:tcPr>
          <w:p w14:paraId="3B4521DB" w14:textId="40C86892" w:rsidR="00A43D6E" w:rsidRDefault="000D07EC" w:rsidP="004C18D2">
            <w:pPr>
              <w:widowControl/>
              <w:spacing w:after="0" w:line="240" w:lineRule="auto"/>
              <w:jc w:val="center"/>
              <w:rPr>
                <w:color w:val="000000"/>
                <w:sz w:val="24"/>
              </w:rPr>
            </w:pPr>
            <w:r>
              <w:rPr>
                <w:color w:val="000000"/>
                <w:sz w:val="24"/>
              </w:rPr>
              <w:t xml:space="preserve">Rectangular </w:t>
            </w:r>
            <w:r w:rsidR="008D705F">
              <w:rPr>
                <w:color w:val="000000"/>
                <w:sz w:val="24"/>
              </w:rPr>
              <w:t>volume</w:t>
            </w:r>
          </w:p>
        </w:tc>
        <w:tc>
          <w:tcPr>
            <w:tcW w:w="2374" w:type="dxa"/>
            <w:tcBorders>
              <w:left w:val="nil"/>
              <w:bottom w:val="single" w:sz="12" w:space="0" w:color="auto"/>
              <w:right w:val="nil"/>
            </w:tcBorders>
            <w:vAlign w:val="center"/>
          </w:tcPr>
          <w:p w14:paraId="3B4521DC" w14:textId="77777777" w:rsidR="00A43D6E" w:rsidRDefault="000D07EC" w:rsidP="004C18D2">
            <w:pPr>
              <w:widowControl/>
              <w:spacing w:after="0" w:line="240" w:lineRule="auto"/>
              <w:jc w:val="center"/>
              <w:rPr>
                <w:color w:val="000000"/>
                <w:sz w:val="24"/>
              </w:rPr>
            </w:pPr>
            <w:r>
              <w:rPr>
                <w:color w:val="000000"/>
                <w:sz w:val="24"/>
              </w:rPr>
              <w:t>Plane</w:t>
            </w:r>
          </w:p>
        </w:tc>
      </w:tr>
    </w:tbl>
    <w:p w14:paraId="3B4521DE" w14:textId="77777777" w:rsidR="00A43D6E" w:rsidRDefault="000D07EC">
      <w:pPr>
        <w:widowControl/>
        <w:jc w:val="left"/>
        <w:rPr>
          <w:b/>
          <w:sz w:val="24"/>
        </w:rPr>
      </w:pPr>
      <w:r>
        <w:rPr>
          <w:sz w:val="24"/>
        </w:rPr>
        <w:br w:type="page"/>
      </w:r>
    </w:p>
    <w:p w14:paraId="3B452288" w14:textId="27E49E53" w:rsidR="00A43D6E" w:rsidRDefault="000D07EC" w:rsidP="00C26190">
      <w:pPr>
        <w:pStyle w:val="af2"/>
        <w:rPr>
          <w:sz w:val="24"/>
        </w:rPr>
      </w:pPr>
      <w:bookmarkStart w:id="11" w:name="_Ref171323625"/>
      <w:r w:rsidRPr="00C26190">
        <w:rPr>
          <w:sz w:val="24"/>
          <w:szCs w:val="24"/>
        </w:rPr>
        <w:lastRenderedPageBreak/>
        <w:t xml:space="preserve">Table </w:t>
      </w:r>
      <w:r w:rsidRPr="00C26190">
        <w:rPr>
          <w:sz w:val="24"/>
          <w:szCs w:val="24"/>
        </w:rPr>
        <w:fldChar w:fldCharType="begin"/>
      </w:r>
      <w:r w:rsidRPr="00C26190">
        <w:rPr>
          <w:sz w:val="24"/>
          <w:szCs w:val="24"/>
        </w:rPr>
        <w:instrText xml:space="preserve"> SEQ Table \* ARABIC </w:instrText>
      </w:r>
      <w:r w:rsidRPr="00C26190">
        <w:rPr>
          <w:sz w:val="24"/>
          <w:szCs w:val="24"/>
        </w:rPr>
        <w:fldChar w:fldCharType="separate"/>
      </w:r>
      <w:r w:rsidR="00910F9D">
        <w:rPr>
          <w:noProof/>
          <w:sz w:val="24"/>
          <w:szCs w:val="24"/>
        </w:rPr>
        <w:t>2</w:t>
      </w:r>
      <w:r w:rsidRPr="00C26190">
        <w:rPr>
          <w:sz w:val="24"/>
          <w:szCs w:val="24"/>
        </w:rPr>
        <w:fldChar w:fldCharType="end"/>
      </w:r>
      <w:bookmarkEnd w:id="11"/>
      <w:r>
        <w:rPr>
          <w:rFonts w:hint="eastAsia"/>
          <w:lang w:eastAsia="ko-KR"/>
        </w:rPr>
        <w:t xml:space="preserve"> </w:t>
      </w:r>
      <w:r w:rsidR="00F33CE8">
        <w:rPr>
          <w:b w:val="0"/>
          <w:sz w:val="24"/>
        </w:rPr>
        <w:t>Recycling scenarios</w:t>
      </w:r>
      <w:r w:rsidR="00F33CE8">
        <w:rPr>
          <w:sz w:val="24"/>
        </w:rPr>
        <w:t xml:space="preserve"> </w:t>
      </w:r>
      <w:r w:rsidR="00F33CE8">
        <w:rPr>
          <w:b w:val="0"/>
          <w:sz w:val="24"/>
        </w:rPr>
        <w:t>for melting stainless steel from nuclear fuel assemblies at a Swedish nuclear power plant.</w:t>
      </w:r>
    </w:p>
    <w:tbl>
      <w:tblPr>
        <w:tblW w:w="9500" w:type="dxa"/>
        <w:tblBorders>
          <w:top w:val="single" w:sz="12" w:space="0" w:color="auto"/>
          <w:bottom w:val="single" w:sz="12" w:space="0" w:color="auto"/>
          <w:insideH w:val="single" w:sz="4" w:space="0" w:color="auto"/>
        </w:tblBorders>
        <w:tblCellMar>
          <w:left w:w="99" w:type="dxa"/>
          <w:right w:w="99" w:type="dxa"/>
        </w:tblCellMar>
        <w:tblLook w:val="04A0" w:firstRow="1" w:lastRow="0" w:firstColumn="1" w:lastColumn="0" w:noHBand="0" w:noVBand="1"/>
      </w:tblPr>
      <w:tblGrid>
        <w:gridCol w:w="3020"/>
        <w:gridCol w:w="1080"/>
        <w:gridCol w:w="1080"/>
        <w:gridCol w:w="1080"/>
        <w:gridCol w:w="1080"/>
        <w:gridCol w:w="1080"/>
        <w:gridCol w:w="1080"/>
      </w:tblGrid>
      <w:tr w:rsidR="00DD1F3F" w14:paraId="6F864B82" w14:textId="77777777" w:rsidTr="001F2E76">
        <w:trPr>
          <w:trHeight w:val="975"/>
        </w:trPr>
        <w:tc>
          <w:tcPr>
            <w:tcW w:w="3020" w:type="dxa"/>
            <w:tcBorders>
              <w:top w:val="single" w:sz="12" w:space="0" w:color="auto"/>
              <w:bottom w:val="double" w:sz="4" w:space="0" w:color="auto"/>
            </w:tcBorders>
            <w:shd w:val="clear" w:color="auto" w:fill="auto"/>
            <w:noWrap/>
            <w:vAlign w:val="center"/>
            <w:hideMark/>
          </w:tcPr>
          <w:p w14:paraId="4952A84B" w14:textId="4C722468"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Calculation </w:t>
            </w:r>
            <w:r w:rsidR="008D705F" w:rsidRPr="00C44CE6">
              <w:rPr>
                <w:rFonts w:eastAsia="맑은 고딕"/>
                <w:b/>
                <w:bCs/>
                <w:color w:val="000000"/>
                <w:sz w:val="24"/>
                <w:szCs w:val="24"/>
              </w:rPr>
              <w:t>parameter</w:t>
            </w:r>
          </w:p>
        </w:tc>
        <w:tc>
          <w:tcPr>
            <w:tcW w:w="1080" w:type="dxa"/>
            <w:tcBorders>
              <w:top w:val="single" w:sz="12" w:space="0" w:color="auto"/>
              <w:bottom w:val="double" w:sz="4" w:space="0" w:color="auto"/>
            </w:tcBorders>
            <w:shd w:val="clear" w:color="auto" w:fill="auto"/>
            <w:vAlign w:val="center"/>
            <w:hideMark/>
          </w:tcPr>
          <w:p w14:paraId="030F345E" w14:textId="0933A63A"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Scrap </w:t>
            </w:r>
            <w:r w:rsidR="008D705F" w:rsidRPr="00C44CE6">
              <w:rPr>
                <w:rFonts w:eastAsia="맑은 고딕"/>
                <w:b/>
                <w:bCs/>
                <w:color w:val="000000"/>
                <w:sz w:val="24"/>
                <w:szCs w:val="24"/>
              </w:rPr>
              <w:t>truck driver</w:t>
            </w:r>
          </w:p>
        </w:tc>
        <w:tc>
          <w:tcPr>
            <w:tcW w:w="1080" w:type="dxa"/>
            <w:tcBorders>
              <w:top w:val="single" w:sz="12" w:space="0" w:color="auto"/>
              <w:bottom w:val="double" w:sz="4" w:space="0" w:color="auto"/>
            </w:tcBorders>
            <w:shd w:val="clear" w:color="auto" w:fill="auto"/>
            <w:vAlign w:val="center"/>
            <w:hideMark/>
          </w:tcPr>
          <w:p w14:paraId="7958BBEF" w14:textId="7192B32E"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Scrap </w:t>
            </w:r>
            <w:r w:rsidR="008D705F" w:rsidRPr="00C44CE6">
              <w:rPr>
                <w:rFonts w:eastAsia="맑은 고딕"/>
                <w:b/>
                <w:bCs/>
                <w:color w:val="000000"/>
                <w:sz w:val="24"/>
                <w:szCs w:val="24"/>
              </w:rPr>
              <w:t>loader</w:t>
            </w:r>
          </w:p>
        </w:tc>
        <w:tc>
          <w:tcPr>
            <w:tcW w:w="1080" w:type="dxa"/>
            <w:tcBorders>
              <w:top w:val="single" w:sz="12" w:space="0" w:color="auto"/>
              <w:bottom w:val="double" w:sz="4" w:space="0" w:color="auto"/>
            </w:tcBorders>
            <w:shd w:val="clear" w:color="auto" w:fill="auto"/>
            <w:vAlign w:val="center"/>
            <w:hideMark/>
          </w:tcPr>
          <w:p w14:paraId="5C2EAC19" w14:textId="7E619BA8"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Scrap </w:t>
            </w:r>
            <w:r w:rsidR="008D705F" w:rsidRPr="00C44CE6">
              <w:rPr>
                <w:rFonts w:eastAsia="맑은 고딕"/>
                <w:b/>
                <w:bCs/>
                <w:color w:val="000000"/>
                <w:sz w:val="24"/>
                <w:szCs w:val="24"/>
              </w:rPr>
              <w:t>cutter</w:t>
            </w:r>
          </w:p>
        </w:tc>
        <w:tc>
          <w:tcPr>
            <w:tcW w:w="1080" w:type="dxa"/>
            <w:tcBorders>
              <w:top w:val="single" w:sz="12" w:space="0" w:color="auto"/>
              <w:bottom w:val="double" w:sz="4" w:space="0" w:color="auto"/>
            </w:tcBorders>
            <w:shd w:val="clear" w:color="auto" w:fill="auto"/>
            <w:vAlign w:val="center"/>
            <w:hideMark/>
          </w:tcPr>
          <w:p w14:paraId="058D179F" w14:textId="18C15ED6"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Ingot </w:t>
            </w:r>
            <w:r w:rsidR="008D705F" w:rsidRPr="00C44CE6">
              <w:rPr>
                <w:rFonts w:eastAsia="맑은 고딕"/>
                <w:b/>
                <w:bCs/>
                <w:color w:val="000000"/>
                <w:sz w:val="24"/>
                <w:szCs w:val="24"/>
              </w:rPr>
              <w:t>caster</w:t>
            </w:r>
          </w:p>
        </w:tc>
        <w:tc>
          <w:tcPr>
            <w:tcW w:w="1080" w:type="dxa"/>
            <w:tcBorders>
              <w:top w:val="single" w:sz="12" w:space="0" w:color="auto"/>
              <w:bottom w:val="double" w:sz="4" w:space="0" w:color="auto"/>
            </w:tcBorders>
            <w:shd w:val="clear" w:color="auto" w:fill="auto"/>
            <w:vAlign w:val="center"/>
            <w:hideMark/>
          </w:tcPr>
          <w:p w14:paraId="10CFEEC1" w14:textId="49AC12B9"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Ingot </w:t>
            </w:r>
            <w:r w:rsidR="008D705F" w:rsidRPr="00C44CE6">
              <w:rPr>
                <w:rFonts w:eastAsia="맑은 고딕"/>
                <w:b/>
                <w:bCs/>
                <w:color w:val="000000"/>
                <w:sz w:val="24"/>
                <w:szCs w:val="24"/>
              </w:rPr>
              <w:t>truck driver</w:t>
            </w:r>
          </w:p>
        </w:tc>
        <w:tc>
          <w:tcPr>
            <w:tcW w:w="1080" w:type="dxa"/>
            <w:tcBorders>
              <w:top w:val="single" w:sz="12" w:space="0" w:color="auto"/>
              <w:bottom w:val="double" w:sz="4" w:space="0" w:color="auto"/>
            </w:tcBorders>
            <w:shd w:val="clear" w:color="auto" w:fill="auto"/>
            <w:vAlign w:val="center"/>
            <w:hideMark/>
          </w:tcPr>
          <w:p w14:paraId="14071A3D" w14:textId="0DB29638" w:rsidR="00256171" w:rsidRPr="00C44CE6" w:rsidRDefault="000D07EC" w:rsidP="00256171">
            <w:pPr>
              <w:widowControl/>
              <w:spacing w:after="0" w:line="240" w:lineRule="auto"/>
              <w:jc w:val="center"/>
              <w:rPr>
                <w:rFonts w:eastAsia="맑은 고딕"/>
                <w:b/>
                <w:bCs/>
                <w:color w:val="000000"/>
                <w:sz w:val="24"/>
                <w:szCs w:val="24"/>
              </w:rPr>
            </w:pPr>
            <w:r w:rsidRPr="00C44CE6">
              <w:rPr>
                <w:rFonts w:eastAsia="맑은 고딕"/>
                <w:b/>
                <w:bCs/>
                <w:color w:val="000000"/>
                <w:sz w:val="24"/>
                <w:szCs w:val="24"/>
              </w:rPr>
              <w:t xml:space="preserve">Slag </w:t>
            </w:r>
            <w:r w:rsidR="008D705F" w:rsidRPr="00C44CE6">
              <w:rPr>
                <w:rFonts w:eastAsia="맑은 고딕"/>
                <w:b/>
                <w:bCs/>
                <w:color w:val="000000"/>
                <w:sz w:val="24"/>
                <w:szCs w:val="24"/>
              </w:rPr>
              <w:t>worker</w:t>
            </w:r>
          </w:p>
        </w:tc>
      </w:tr>
      <w:tr w:rsidR="00DD1F3F" w14:paraId="1FB47BC7" w14:textId="77777777" w:rsidTr="001F2E76">
        <w:trPr>
          <w:trHeight w:val="345"/>
        </w:trPr>
        <w:tc>
          <w:tcPr>
            <w:tcW w:w="3020" w:type="dxa"/>
            <w:tcBorders>
              <w:top w:val="double" w:sz="4" w:space="0" w:color="auto"/>
            </w:tcBorders>
            <w:shd w:val="clear" w:color="auto" w:fill="auto"/>
            <w:noWrap/>
            <w:vAlign w:val="center"/>
            <w:hideMark/>
          </w:tcPr>
          <w:p w14:paraId="0E0BA0A8" w14:textId="0B039676"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Source geometry</w:t>
            </w:r>
          </w:p>
        </w:tc>
        <w:tc>
          <w:tcPr>
            <w:tcW w:w="1080" w:type="dxa"/>
            <w:tcBorders>
              <w:top w:val="double" w:sz="4" w:space="0" w:color="auto"/>
            </w:tcBorders>
            <w:shd w:val="clear" w:color="auto" w:fill="auto"/>
            <w:noWrap/>
            <w:vAlign w:val="center"/>
            <w:hideMark/>
          </w:tcPr>
          <w:p w14:paraId="6F1F0C31"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c>
          <w:tcPr>
            <w:tcW w:w="1080" w:type="dxa"/>
            <w:tcBorders>
              <w:top w:val="double" w:sz="4" w:space="0" w:color="auto"/>
            </w:tcBorders>
            <w:shd w:val="clear" w:color="auto" w:fill="auto"/>
            <w:vAlign w:val="center"/>
          </w:tcPr>
          <w:p w14:paraId="1523B8BA"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c>
          <w:tcPr>
            <w:tcW w:w="1080" w:type="dxa"/>
            <w:tcBorders>
              <w:top w:val="double" w:sz="4" w:space="0" w:color="auto"/>
            </w:tcBorders>
            <w:shd w:val="clear" w:color="auto" w:fill="auto"/>
            <w:vAlign w:val="center"/>
          </w:tcPr>
          <w:p w14:paraId="1672740A"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c>
          <w:tcPr>
            <w:tcW w:w="1080" w:type="dxa"/>
            <w:tcBorders>
              <w:top w:val="double" w:sz="4" w:space="0" w:color="auto"/>
            </w:tcBorders>
            <w:shd w:val="clear" w:color="auto" w:fill="auto"/>
            <w:vAlign w:val="center"/>
          </w:tcPr>
          <w:p w14:paraId="3FDA6D83"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c>
          <w:tcPr>
            <w:tcW w:w="1080" w:type="dxa"/>
            <w:tcBorders>
              <w:top w:val="double" w:sz="4" w:space="0" w:color="auto"/>
            </w:tcBorders>
            <w:shd w:val="clear" w:color="auto" w:fill="auto"/>
            <w:vAlign w:val="center"/>
          </w:tcPr>
          <w:p w14:paraId="39A8182D"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c>
          <w:tcPr>
            <w:tcW w:w="1080" w:type="dxa"/>
            <w:tcBorders>
              <w:top w:val="double" w:sz="4" w:space="0" w:color="auto"/>
            </w:tcBorders>
            <w:shd w:val="clear" w:color="auto" w:fill="auto"/>
            <w:vAlign w:val="center"/>
          </w:tcPr>
          <w:p w14:paraId="00B44B2C" w14:textId="77777777" w:rsidR="00256171" w:rsidRPr="00721786" w:rsidRDefault="000D07EC" w:rsidP="00256171">
            <w:pPr>
              <w:widowControl/>
              <w:spacing w:after="0" w:line="240" w:lineRule="auto"/>
              <w:jc w:val="center"/>
              <w:rPr>
                <w:sz w:val="24"/>
                <w:szCs w:val="24"/>
              </w:rPr>
            </w:pPr>
            <w:r w:rsidRPr="00721786">
              <w:rPr>
                <w:rFonts w:eastAsia="맑은 고딕"/>
                <w:color w:val="000000"/>
                <w:sz w:val="24"/>
                <w:szCs w:val="24"/>
              </w:rPr>
              <w:t>cylinder</w:t>
            </w:r>
          </w:p>
        </w:tc>
      </w:tr>
      <w:tr w:rsidR="00DD1F3F" w14:paraId="6A73D16C" w14:textId="77777777" w:rsidTr="001F2E76">
        <w:trPr>
          <w:trHeight w:val="345"/>
        </w:trPr>
        <w:tc>
          <w:tcPr>
            <w:tcW w:w="3020" w:type="dxa"/>
            <w:shd w:val="clear" w:color="auto" w:fill="auto"/>
            <w:noWrap/>
            <w:vAlign w:val="center"/>
            <w:hideMark/>
          </w:tcPr>
          <w:p w14:paraId="69FD3BE3" w14:textId="2FBC84EE"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Shielding effect</w:t>
            </w:r>
          </w:p>
        </w:tc>
        <w:tc>
          <w:tcPr>
            <w:tcW w:w="1080" w:type="dxa"/>
            <w:shd w:val="clear" w:color="auto" w:fill="auto"/>
            <w:noWrap/>
            <w:vAlign w:val="center"/>
            <w:hideMark/>
          </w:tcPr>
          <w:p w14:paraId="32EF5A74"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O</w:t>
            </w:r>
          </w:p>
        </w:tc>
        <w:tc>
          <w:tcPr>
            <w:tcW w:w="1080" w:type="dxa"/>
            <w:shd w:val="clear" w:color="auto" w:fill="auto"/>
            <w:noWrap/>
            <w:vAlign w:val="center"/>
            <w:hideMark/>
          </w:tcPr>
          <w:p w14:paraId="236DF45A"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X</w:t>
            </w:r>
          </w:p>
        </w:tc>
        <w:tc>
          <w:tcPr>
            <w:tcW w:w="1080" w:type="dxa"/>
            <w:shd w:val="clear" w:color="auto" w:fill="auto"/>
            <w:noWrap/>
            <w:vAlign w:val="center"/>
            <w:hideMark/>
          </w:tcPr>
          <w:p w14:paraId="4C43DCD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X</w:t>
            </w:r>
          </w:p>
        </w:tc>
        <w:tc>
          <w:tcPr>
            <w:tcW w:w="1080" w:type="dxa"/>
            <w:shd w:val="clear" w:color="auto" w:fill="auto"/>
            <w:noWrap/>
            <w:vAlign w:val="center"/>
            <w:hideMark/>
          </w:tcPr>
          <w:p w14:paraId="627CDEA7"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O</w:t>
            </w:r>
          </w:p>
        </w:tc>
        <w:tc>
          <w:tcPr>
            <w:tcW w:w="1080" w:type="dxa"/>
            <w:shd w:val="clear" w:color="auto" w:fill="auto"/>
            <w:noWrap/>
            <w:vAlign w:val="center"/>
            <w:hideMark/>
          </w:tcPr>
          <w:p w14:paraId="6B769ABC"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X</w:t>
            </w:r>
          </w:p>
        </w:tc>
        <w:tc>
          <w:tcPr>
            <w:tcW w:w="1080" w:type="dxa"/>
            <w:shd w:val="clear" w:color="auto" w:fill="auto"/>
            <w:noWrap/>
            <w:vAlign w:val="center"/>
            <w:hideMark/>
          </w:tcPr>
          <w:p w14:paraId="401B17FB"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O</w:t>
            </w:r>
          </w:p>
        </w:tc>
      </w:tr>
      <w:tr w:rsidR="00DD1F3F" w14:paraId="5DABFEB8" w14:textId="77777777" w:rsidTr="001F2E76">
        <w:trPr>
          <w:trHeight w:val="345"/>
        </w:trPr>
        <w:tc>
          <w:tcPr>
            <w:tcW w:w="3020" w:type="dxa"/>
            <w:shd w:val="clear" w:color="auto" w:fill="auto"/>
            <w:noWrap/>
            <w:vAlign w:val="center"/>
            <w:hideMark/>
          </w:tcPr>
          <w:p w14:paraId="783602E2" w14:textId="5496EA55"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Shielding material</w:t>
            </w:r>
          </w:p>
        </w:tc>
        <w:tc>
          <w:tcPr>
            <w:tcW w:w="1080" w:type="dxa"/>
            <w:shd w:val="clear" w:color="auto" w:fill="auto"/>
            <w:noWrap/>
            <w:vAlign w:val="center"/>
            <w:hideMark/>
          </w:tcPr>
          <w:p w14:paraId="4B199276"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Iron</w:t>
            </w:r>
          </w:p>
        </w:tc>
        <w:tc>
          <w:tcPr>
            <w:tcW w:w="1080" w:type="dxa"/>
            <w:shd w:val="clear" w:color="auto" w:fill="auto"/>
            <w:noWrap/>
            <w:vAlign w:val="center"/>
            <w:hideMark/>
          </w:tcPr>
          <w:p w14:paraId="2F14842C"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w:t>
            </w:r>
          </w:p>
        </w:tc>
        <w:tc>
          <w:tcPr>
            <w:tcW w:w="1080" w:type="dxa"/>
            <w:shd w:val="clear" w:color="auto" w:fill="auto"/>
            <w:noWrap/>
            <w:vAlign w:val="center"/>
            <w:hideMark/>
          </w:tcPr>
          <w:p w14:paraId="411F5484"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w:t>
            </w:r>
          </w:p>
        </w:tc>
        <w:tc>
          <w:tcPr>
            <w:tcW w:w="1080" w:type="dxa"/>
            <w:shd w:val="clear" w:color="auto" w:fill="auto"/>
            <w:noWrap/>
            <w:vAlign w:val="center"/>
            <w:hideMark/>
          </w:tcPr>
          <w:p w14:paraId="69FA1F32"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Iron</w:t>
            </w:r>
          </w:p>
        </w:tc>
        <w:tc>
          <w:tcPr>
            <w:tcW w:w="1080" w:type="dxa"/>
            <w:shd w:val="clear" w:color="auto" w:fill="auto"/>
            <w:noWrap/>
            <w:vAlign w:val="center"/>
            <w:hideMark/>
          </w:tcPr>
          <w:p w14:paraId="3B8BB9C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w:t>
            </w:r>
          </w:p>
        </w:tc>
        <w:tc>
          <w:tcPr>
            <w:tcW w:w="1080" w:type="dxa"/>
            <w:shd w:val="clear" w:color="auto" w:fill="auto"/>
            <w:noWrap/>
            <w:vAlign w:val="center"/>
            <w:hideMark/>
          </w:tcPr>
          <w:p w14:paraId="7A63B1E1"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Iron</w:t>
            </w:r>
          </w:p>
        </w:tc>
      </w:tr>
      <w:tr w:rsidR="00DD1F3F" w14:paraId="7C157682" w14:textId="77777777" w:rsidTr="001F2E76">
        <w:trPr>
          <w:trHeight w:val="345"/>
        </w:trPr>
        <w:tc>
          <w:tcPr>
            <w:tcW w:w="3020" w:type="dxa"/>
            <w:shd w:val="clear" w:color="auto" w:fill="auto"/>
            <w:noWrap/>
            <w:vAlign w:val="center"/>
            <w:hideMark/>
          </w:tcPr>
          <w:p w14:paraId="2A57CDF5" w14:textId="3FB30F1F"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Shielding thickness </w:t>
            </w:r>
            <w:r w:rsidR="00F33CE8" w:rsidRPr="00C43910">
              <w:rPr>
                <w:rFonts w:eastAsia="맑은 고딕"/>
                <w:color w:val="000000"/>
                <w:sz w:val="24"/>
                <w:szCs w:val="24"/>
              </w:rPr>
              <w:t>(cm)</w:t>
            </w:r>
          </w:p>
        </w:tc>
        <w:tc>
          <w:tcPr>
            <w:tcW w:w="1080" w:type="dxa"/>
            <w:shd w:val="clear" w:color="auto" w:fill="auto"/>
            <w:noWrap/>
            <w:vAlign w:val="center"/>
            <w:hideMark/>
          </w:tcPr>
          <w:p w14:paraId="0585062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0.3</w:t>
            </w:r>
          </w:p>
        </w:tc>
        <w:tc>
          <w:tcPr>
            <w:tcW w:w="1080" w:type="dxa"/>
            <w:shd w:val="clear" w:color="auto" w:fill="auto"/>
            <w:noWrap/>
            <w:vAlign w:val="center"/>
            <w:hideMark/>
          </w:tcPr>
          <w:p w14:paraId="5B4A9B7A"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583B7AD3"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7CE3D2E1"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8</w:t>
            </w:r>
          </w:p>
        </w:tc>
        <w:tc>
          <w:tcPr>
            <w:tcW w:w="1080" w:type="dxa"/>
            <w:shd w:val="clear" w:color="auto" w:fill="auto"/>
            <w:noWrap/>
            <w:vAlign w:val="center"/>
            <w:hideMark/>
          </w:tcPr>
          <w:p w14:paraId="4B1E06F6"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59FDE3B5"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1.2</w:t>
            </w:r>
          </w:p>
        </w:tc>
      </w:tr>
      <w:tr w:rsidR="00DD1F3F" w14:paraId="1E708E26" w14:textId="77777777" w:rsidTr="001F2E76">
        <w:trPr>
          <w:trHeight w:val="345"/>
        </w:trPr>
        <w:tc>
          <w:tcPr>
            <w:tcW w:w="3020" w:type="dxa"/>
            <w:shd w:val="clear" w:color="auto" w:fill="auto"/>
            <w:noWrap/>
            <w:vAlign w:val="center"/>
            <w:hideMark/>
          </w:tcPr>
          <w:p w14:paraId="5E705EAC" w14:textId="0AB2CC0B" w:rsidR="00256171" w:rsidRPr="003C58A9" w:rsidRDefault="000D07EC" w:rsidP="00256171">
            <w:pPr>
              <w:widowControl/>
              <w:spacing w:after="0" w:line="240" w:lineRule="auto"/>
              <w:jc w:val="center"/>
              <w:rPr>
                <w:rFonts w:eastAsia="맑은 고딕"/>
                <w:color w:val="000000"/>
                <w:sz w:val="24"/>
                <w:szCs w:val="24"/>
              </w:rPr>
            </w:pPr>
            <w:r w:rsidRPr="003C58A9">
              <w:rPr>
                <w:rFonts w:eastAsia="맑은 고딕"/>
                <w:color w:val="000000"/>
                <w:sz w:val="24"/>
                <w:szCs w:val="24"/>
              </w:rPr>
              <w:t xml:space="preserve">Shielding </w:t>
            </w:r>
            <w:r w:rsidR="008D705F" w:rsidRPr="003C58A9">
              <w:rPr>
                <w:rFonts w:eastAsia="맑은 고딕"/>
                <w:color w:val="000000"/>
                <w:sz w:val="24"/>
                <w:szCs w:val="24"/>
              </w:rPr>
              <w:t xml:space="preserve">density </w:t>
            </w:r>
            <w:r w:rsidRPr="003C58A9">
              <w:rPr>
                <w:rFonts w:eastAsia="맑은 고딕"/>
                <w:color w:val="000000"/>
                <w:sz w:val="24"/>
                <w:szCs w:val="24"/>
              </w:rPr>
              <w:t>(g/cm</w:t>
            </w:r>
            <w:r w:rsidRPr="00472E37">
              <w:rPr>
                <w:rFonts w:eastAsia="맑은 고딕"/>
                <w:color w:val="000000"/>
                <w:sz w:val="24"/>
                <w:szCs w:val="24"/>
                <w:vertAlign w:val="superscript"/>
              </w:rPr>
              <w:t>3</w:t>
            </w:r>
            <w:r w:rsidRPr="003C58A9">
              <w:rPr>
                <w:rFonts w:eastAsia="맑은 고딕"/>
                <w:color w:val="000000"/>
                <w:sz w:val="24"/>
                <w:szCs w:val="24"/>
              </w:rPr>
              <w:t>)</w:t>
            </w:r>
          </w:p>
        </w:tc>
        <w:tc>
          <w:tcPr>
            <w:tcW w:w="1080" w:type="dxa"/>
            <w:shd w:val="clear" w:color="auto" w:fill="auto"/>
            <w:noWrap/>
            <w:vAlign w:val="center"/>
            <w:hideMark/>
          </w:tcPr>
          <w:p w14:paraId="17ECD9A8"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7.86</w:t>
            </w:r>
          </w:p>
        </w:tc>
        <w:tc>
          <w:tcPr>
            <w:tcW w:w="1080" w:type="dxa"/>
            <w:shd w:val="clear" w:color="auto" w:fill="auto"/>
            <w:noWrap/>
            <w:vAlign w:val="center"/>
            <w:hideMark/>
          </w:tcPr>
          <w:p w14:paraId="7466CE75"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270B42D6"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760FC79B"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7.86</w:t>
            </w:r>
          </w:p>
        </w:tc>
        <w:tc>
          <w:tcPr>
            <w:tcW w:w="1080" w:type="dxa"/>
            <w:shd w:val="clear" w:color="auto" w:fill="auto"/>
            <w:noWrap/>
            <w:vAlign w:val="center"/>
            <w:hideMark/>
          </w:tcPr>
          <w:p w14:paraId="56698A88"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w:t>
            </w:r>
          </w:p>
        </w:tc>
        <w:tc>
          <w:tcPr>
            <w:tcW w:w="1080" w:type="dxa"/>
            <w:shd w:val="clear" w:color="auto" w:fill="auto"/>
            <w:noWrap/>
            <w:vAlign w:val="center"/>
            <w:hideMark/>
          </w:tcPr>
          <w:p w14:paraId="29F45BC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7.86</w:t>
            </w:r>
          </w:p>
        </w:tc>
      </w:tr>
      <w:tr w:rsidR="00DD1F3F" w14:paraId="6C964AED" w14:textId="77777777" w:rsidTr="001F2E76">
        <w:trPr>
          <w:trHeight w:val="345"/>
        </w:trPr>
        <w:tc>
          <w:tcPr>
            <w:tcW w:w="3020" w:type="dxa"/>
            <w:shd w:val="clear" w:color="auto" w:fill="auto"/>
            <w:noWrap/>
            <w:vAlign w:val="center"/>
            <w:hideMark/>
          </w:tcPr>
          <w:p w14:paraId="5F0A0086" w14:textId="77777777" w:rsidR="00256171" w:rsidRPr="003C58A9" w:rsidRDefault="000D07EC" w:rsidP="00256171">
            <w:pPr>
              <w:widowControl/>
              <w:spacing w:after="0" w:line="240" w:lineRule="auto"/>
              <w:jc w:val="center"/>
              <w:rPr>
                <w:rFonts w:eastAsia="맑은 고딕"/>
                <w:color w:val="000000"/>
                <w:sz w:val="24"/>
                <w:szCs w:val="24"/>
              </w:rPr>
            </w:pPr>
            <w:r w:rsidRPr="003C58A9">
              <w:rPr>
                <w:rFonts w:eastAsia="맑은 고딕"/>
                <w:color w:val="000000"/>
                <w:sz w:val="24"/>
                <w:szCs w:val="24"/>
              </w:rPr>
              <w:t>Mass (t)</w:t>
            </w:r>
          </w:p>
        </w:tc>
        <w:tc>
          <w:tcPr>
            <w:tcW w:w="1080" w:type="dxa"/>
            <w:shd w:val="clear" w:color="auto" w:fill="auto"/>
            <w:noWrap/>
            <w:vAlign w:val="center"/>
            <w:hideMark/>
          </w:tcPr>
          <w:p w14:paraId="1DC301C7"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3.3</w:t>
            </w:r>
          </w:p>
        </w:tc>
        <w:tc>
          <w:tcPr>
            <w:tcW w:w="1080" w:type="dxa"/>
            <w:shd w:val="clear" w:color="auto" w:fill="auto"/>
            <w:noWrap/>
            <w:vAlign w:val="center"/>
            <w:hideMark/>
          </w:tcPr>
          <w:p w14:paraId="5D27F4C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w:t>
            </w:r>
          </w:p>
        </w:tc>
        <w:tc>
          <w:tcPr>
            <w:tcW w:w="1080" w:type="dxa"/>
            <w:shd w:val="clear" w:color="auto" w:fill="auto"/>
            <w:noWrap/>
            <w:vAlign w:val="center"/>
            <w:hideMark/>
          </w:tcPr>
          <w:p w14:paraId="60E55233"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3.3</w:t>
            </w:r>
          </w:p>
        </w:tc>
        <w:tc>
          <w:tcPr>
            <w:tcW w:w="1080" w:type="dxa"/>
            <w:shd w:val="clear" w:color="auto" w:fill="auto"/>
            <w:noWrap/>
            <w:vAlign w:val="center"/>
            <w:hideMark/>
          </w:tcPr>
          <w:p w14:paraId="588F504F"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3.2</w:t>
            </w:r>
          </w:p>
        </w:tc>
        <w:tc>
          <w:tcPr>
            <w:tcW w:w="1080" w:type="dxa"/>
            <w:shd w:val="clear" w:color="auto" w:fill="auto"/>
            <w:noWrap/>
            <w:vAlign w:val="center"/>
            <w:hideMark/>
          </w:tcPr>
          <w:p w14:paraId="0D08C21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3.2</w:t>
            </w:r>
          </w:p>
        </w:tc>
        <w:tc>
          <w:tcPr>
            <w:tcW w:w="1080" w:type="dxa"/>
            <w:shd w:val="clear" w:color="auto" w:fill="auto"/>
            <w:noWrap/>
            <w:vAlign w:val="center"/>
            <w:hideMark/>
          </w:tcPr>
          <w:p w14:paraId="240B9D17"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0.006</w:t>
            </w:r>
          </w:p>
        </w:tc>
      </w:tr>
      <w:tr w:rsidR="00DD1F3F" w14:paraId="2E384EB9" w14:textId="77777777" w:rsidTr="001F2E76">
        <w:trPr>
          <w:trHeight w:val="345"/>
        </w:trPr>
        <w:tc>
          <w:tcPr>
            <w:tcW w:w="3020" w:type="dxa"/>
            <w:shd w:val="clear" w:color="auto" w:fill="auto"/>
            <w:noWrap/>
            <w:vAlign w:val="center"/>
            <w:hideMark/>
          </w:tcPr>
          <w:p w14:paraId="5CC5628D" w14:textId="0FFEAFEC" w:rsidR="00256171" w:rsidRPr="003C58A9" w:rsidRDefault="000D07EC" w:rsidP="00256171">
            <w:pPr>
              <w:widowControl/>
              <w:spacing w:after="0" w:line="240" w:lineRule="auto"/>
              <w:jc w:val="center"/>
              <w:rPr>
                <w:rFonts w:eastAsia="맑은 고딕"/>
                <w:color w:val="000000"/>
                <w:sz w:val="24"/>
                <w:szCs w:val="24"/>
              </w:rPr>
            </w:pPr>
            <w:r w:rsidRPr="003C58A9">
              <w:rPr>
                <w:rFonts w:eastAsia="맑은 고딕"/>
                <w:color w:val="000000"/>
                <w:sz w:val="24"/>
                <w:szCs w:val="24"/>
              </w:rPr>
              <w:t xml:space="preserve">Source </w:t>
            </w:r>
            <w:r w:rsidR="008D705F" w:rsidRPr="003C58A9">
              <w:rPr>
                <w:rFonts w:eastAsia="맑은 고딕"/>
                <w:color w:val="000000"/>
                <w:sz w:val="24"/>
                <w:szCs w:val="24"/>
              </w:rPr>
              <w:t xml:space="preserve">density </w:t>
            </w:r>
            <w:r w:rsidRPr="003C58A9">
              <w:rPr>
                <w:rFonts w:eastAsia="맑은 고딕"/>
                <w:color w:val="000000"/>
                <w:sz w:val="24"/>
                <w:szCs w:val="24"/>
              </w:rPr>
              <w:t>(g/cm</w:t>
            </w:r>
            <w:r w:rsidRPr="00472E37">
              <w:rPr>
                <w:rFonts w:eastAsia="맑은 고딕"/>
                <w:color w:val="000000"/>
                <w:sz w:val="24"/>
                <w:szCs w:val="24"/>
                <w:vertAlign w:val="superscript"/>
              </w:rPr>
              <w:t>3</w:t>
            </w:r>
            <w:r w:rsidRPr="003C58A9">
              <w:rPr>
                <w:rFonts w:eastAsia="맑은 고딕"/>
                <w:color w:val="000000"/>
                <w:sz w:val="24"/>
                <w:szCs w:val="24"/>
              </w:rPr>
              <w:t>)</w:t>
            </w:r>
          </w:p>
        </w:tc>
        <w:tc>
          <w:tcPr>
            <w:tcW w:w="1080" w:type="dxa"/>
            <w:shd w:val="clear" w:color="auto" w:fill="auto"/>
            <w:noWrap/>
            <w:vAlign w:val="center"/>
            <w:hideMark/>
          </w:tcPr>
          <w:p w14:paraId="1B62B03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0.13</w:t>
            </w:r>
          </w:p>
        </w:tc>
        <w:tc>
          <w:tcPr>
            <w:tcW w:w="1080" w:type="dxa"/>
            <w:shd w:val="clear" w:color="auto" w:fill="auto"/>
            <w:noWrap/>
            <w:vAlign w:val="center"/>
            <w:hideMark/>
          </w:tcPr>
          <w:p w14:paraId="340DE9AB"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0.13</w:t>
            </w:r>
          </w:p>
        </w:tc>
        <w:tc>
          <w:tcPr>
            <w:tcW w:w="1080" w:type="dxa"/>
            <w:shd w:val="clear" w:color="auto" w:fill="auto"/>
            <w:noWrap/>
            <w:vAlign w:val="center"/>
            <w:hideMark/>
          </w:tcPr>
          <w:p w14:paraId="14CA22DC"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0.13</w:t>
            </w:r>
          </w:p>
        </w:tc>
        <w:tc>
          <w:tcPr>
            <w:tcW w:w="1080" w:type="dxa"/>
            <w:shd w:val="clear" w:color="auto" w:fill="auto"/>
            <w:noWrap/>
            <w:vAlign w:val="center"/>
            <w:hideMark/>
          </w:tcPr>
          <w:p w14:paraId="29A80E51"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7.86</w:t>
            </w:r>
          </w:p>
        </w:tc>
        <w:tc>
          <w:tcPr>
            <w:tcW w:w="1080" w:type="dxa"/>
            <w:shd w:val="clear" w:color="auto" w:fill="auto"/>
            <w:noWrap/>
            <w:vAlign w:val="center"/>
            <w:hideMark/>
          </w:tcPr>
          <w:p w14:paraId="2F39FC57"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7.86</w:t>
            </w:r>
          </w:p>
        </w:tc>
        <w:tc>
          <w:tcPr>
            <w:tcW w:w="1080" w:type="dxa"/>
            <w:shd w:val="clear" w:color="auto" w:fill="auto"/>
            <w:noWrap/>
            <w:vAlign w:val="center"/>
            <w:hideMark/>
          </w:tcPr>
          <w:p w14:paraId="5E9250F2"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1.5</w:t>
            </w:r>
          </w:p>
        </w:tc>
      </w:tr>
      <w:tr w:rsidR="00DD1F3F" w14:paraId="0CC139CC" w14:textId="77777777" w:rsidTr="001F2E76">
        <w:trPr>
          <w:trHeight w:val="345"/>
        </w:trPr>
        <w:tc>
          <w:tcPr>
            <w:tcW w:w="3020" w:type="dxa"/>
            <w:shd w:val="clear" w:color="auto" w:fill="auto"/>
            <w:noWrap/>
            <w:vAlign w:val="center"/>
            <w:hideMark/>
          </w:tcPr>
          <w:p w14:paraId="4130DDE2" w14:textId="76BF3F25"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Source </w:t>
            </w:r>
            <w:r w:rsidR="008D705F" w:rsidRPr="00C43910">
              <w:rPr>
                <w:rFonts w:eastAsia="맑은 고딕"/>
                <w:color w:val="000000"/>
                <w:sz w:val="24"/>
                <w:szCs w:val="24"/>
              </w:rPr>
              <w:t xml:space="preserve">height </w:t>
            </w:r>
            <w:r w:rsidRPr="00C43910">
              <w:rPr>
                <w:rFonts w:eastAsia="맑은 고딕"/>
                <w:color w:val="000000"/>
                <w:sz w:val="24"/>
                <w:szCs w:val="24"/>
              </w:rPr>
              <w:t>(cm)</w:t>
            </w:r>
          </w:p>
        </w:tc>
        <w:tc>
          <w:tcPr>
            <w:tcW w:w="1080" w:type="dxa"/>
            <w:shd w:val="clear" w:color="auto" w:fill="auto"/>
            <w:noWrap/>
            <w:vAlign w:val="center"/>
            <w:hideMark/>
          </w:tcPr>
          <w:p w14:paraId="0ABCF64E"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400</w:t>
            </w:r>
          </w:p>
        </w:tc>
        <w:tc>
          <w:tcPr>
            <w:tcW w:w="1080" w:type="dxa"/>
            <w:shd w:val="clear" w:color="auto" w:fill="auto"/>
            <w:noWrap/>
            <w:vAlign w:val="center"/>
            <w:hideMark/>
          </w:tcPr>
          <w:p w14:paraId="0E41C197"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400</w:t>
            </w:r>
          </w:p>
        </w:tc>
        <w:tc>
          <w:tcPr>
            <w:tcW w:w="1080" w:type="dxa"/>
            <w:shd w:val="clear" w:color="auto" w:fill="auto"/>
            <w:noWrap/>
            <w:vAlign w:val="center"/>
            <w:hideMark/>
          </w:tcPr>
          <w:p w14:paraId="0BAC7AA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400</w:t>
            </w:r>
          </w:p>
        </w:tc>
        <w:tc>
          <w:tcPr>
            <w:tcW w:w="1080" w:type="dxa"/>
            <w:shd w:val="clear" w:color="auto" w:fill="auto"/>
            <w:noWrap/>
            <w:vAlign w:val="center"/>
            <w:hideMark/>
          </w:tcPr>
          <w:p w14:paraId="72E90B83"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100</w:t>
            </w:r>
          </w:p>
        </w:tc>
        <w:tc>
          <w:tcPr>
            <w:tcW w:w="1080" w:type="dxa"/>
            <w:shd w:val="clear" w:color="auto" w:fill="auto"/>
            <w:noWrap/>
            <w:vAlign w:val="center"/>
            <w:hideMark/>
          </w:tcPr>
          <w:p w14:paraId="716B940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250</w:t>
            </w:r>
          </w:p>
        </w:tc>
        <w:tc>
          <w:tcPr>
            <w:tcW w:w="1080" w:type="dxa"/>
            <w:shd w:val="clear" w:color="auto" w:fill="auto"/>
            <w:noWrap/>
            <w:vAlign w:val="center"/>
            <w:hideMark/>
          </w:tcPr>
          <w:p w14:paraId="471BB37A"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20</w:t>
            </w:r>
          </w:p>
        </w:tc>
      </w:tr>
      <w:tr w:rsidR="00DD1F3F" w14:paraId="1D76C93C" w14:textId="77777777" w:rsidTr="001F2E76">
        <w:trPr>
          <w:trHeight w:val="345"/>
        </w:trPr>
        <w:tc>
          <w:tcPr>
            <w:tcW w:w="3020" w:type="dxa"/>
            <w:shd w:val="clear" w:color="auto" w:fill="auto"/>
            <w:noWrap/>
            <w:vAlign w:val="center"/>
            <w:hideMark/>
          </w:tcPr>
          <w:p w14:paraId="6BD2FEDB" w14:textId="77777777"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Radius (cm)</w:t>
            </w:r>
          </w:p>
        </w:tc>
        <w:tc>
          <w:tcPr>
            <w:tcW w:w="1080" w:type="dxa"/>
            <w:shd w:val="clear" w:color="auto" w:fill="auto"/>
            <w:noWrap/>
            <w:vAlign w:val="center"/>
            <w:hideMark/>
          </w:tcPr>
          <w:p w14:paraId="1887F6CC"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145</w:t>
            </w:r>
          </w:p>
        </w:tc>
        <w:tc>
          <w:tcPr>
            <w:tcW w:w="1080" w:type="dxa"/>
            <w:shd w:val="clear" w:color="auto" w:fill="auto"/>
            <w:noWrap/>
            <w:vAlign w:val="center"/>
            <w:hideMark/>
          </w:tcPr>
          <w:p w14:paraId="33139E7E"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145</w:t>
            </w:r>
          </w:p>
        </w:tc>
        <w:tc>
          <w:tcPr>
            <w:tcW w:w="1080" w:type="dxa"/>
            <w:shd w:val="clear" w:color="auto" w:fill="auto"/>
            <w:noWrap/>
            <w:vAlign w:val="center"/>
            <w:hideMark/>
          </w:tcPr>
          <w:p w14:paraId="12B40BF6"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145</w:t>
            </w:r>
          </w:p>
        </w:tc>
        <w:tc>
          <w:tcPr>
            <w:tcW w:w="1080" w:type="dxa"/>
            <w:shd w:val="clear" w:color="auto" w:fill="auto"/>
            <w:noWrap/>
            <w:vAlign w:val="center"/>
            <w:hideMark/>
          </w:tcPr>
          <w:p w14:paraId="203B9B16"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40</w:t>
            </w:r>
          </w:p>
        </w:tc>
        <w:tc>
          <w:tcPr>
            <w:tcW w:w="1080" w:type="dxa"/>
            <w:shd w:val="clear" w:color="auto" w:fill="auto"/>
            <w:noWrap/>
            <w:vAlign w:val="center"/>
            <w:hideMark/>
          </w:tcPr>
          <w:p w14:paraId="29B94FBE"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23</w:t>
            </w:r>
          </w:p>
        </w:tc>
        <w:tc>
          <w:tcPr>
            <w:tcW w:w="1080" w:type="dxa"/>
            <w:shd w:val="clear" w:color="auto" w:fill="auto"/>
            <w:noWrap/>
            <w:vAlign w:val="center"/>
            <w:hideMark/>
          </w:tcPr>
          <w:p w14:paraId="45350111"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25</w:t>
            </w:r>
          </w:p>
        </w:tc>
      </w:tr>
      <w:tr w:rsidR="00DD1F3F" w14:paraId="5F6A2287" w14:textId="77777777" w:rsidTr="001F2E76">
        <w:trPr>
          <w:trHeight w:val="345"/>
        </w:trPr>
        <w:tc>
          <w:tcPr>
            <w:tcW w:w="3020" w:type="dxa"/>
            <w:shd w:val="clear" w:color="auto" w:fill="auto"/>
            <w:noWrap/>
            <w:vAlign w:val="center"/>
            <w:hideMark/>
          </w:tcPr>
          <w:p w14:paraId="7112D763" w14:textId="77777777"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Distance (cm)</w:t>
            </w:r>
          </w:p>
        </w:tc>
        <w:tc>
          <w:tcPr>
            <w:tcW w:w="1080" w:type="dxa"/>
            <w:shd w:val="clear" w:color="auto" w:fill="auto"/>
            <w:noWrap/>
            <w:vAlign w:val="center"/>
            <w:hideMark/>
          </w:tcPr>
          <w:p w14:paraId="7ADDF3F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150</w:t>
            </w:r>
          </w:p>
        </w:tc>
        <w:tc>
          <w:tcPr>
            <w:tcW w:w="1080" w:type="dxa"/>
            <w:shd w:val="clear" w:color="auto" w:fill="auto"/>
            <w:noWrap/>
            <w:vAlign w:val="center"/>
            <w:hideMark/>
          </w:tcPr>
          <w:p w14:paraId="2FE42B82"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50</w:t>
            </w:r>
          </w:p>
        </w:tc>
        <w:tc>
          <w:tcPr>
            <w:tcW w:w="1080" w:type="dxa"/>
            <w:shd w:val="clear" w:color="auto" w:fill="auto"/>
            <w:noWrap/>
            <w:vAlign w:val="center"/>
            <w:hideMark/>
          </w:tcPr>
          <w:p w14:paraId="5F65F4AA"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30</w:t>
            </w:r>
          </w:p>
        </w:tc>
        <w:tc>
          <w:tcPr>
            <w:tcW w:w="1080" w:type="dxa"/>
            <w:shd w:val="clear" w:color="auto" w:fill="auto"/>
            <w:noWrap/>
            <w:vAlign w:val="center"/>
            <w:hideMark/>
          </w:tcPr>
          <w:p w14:paraId="656800D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100</w:t>
            </w:r>
          </w:p>
        </w:tc>
        <w:tc>
          <w:tcPr>
            <w:tcW w:w="1080" w:type="dxa"/>
            <w:shd w:val="clear" w:color="auto" w:fill="auto"/>
            <w:noWrap/>
            <w:vAlign w:val="center"/>
            <w:hideMark/>
          </w:tcPr>
          <w:p w14:paraId="61F40A58"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200</w:t>
            </w:r>
          </w:p>
        </w:tc>
        <w:tc>
          <w:tcPr>
            <w:tcW w:w="1080" w:type="dxa"/>
            <w:shd w:val="clear" w:color="auto" w:fill="auto"/>
            <w:noWrap/>
            <w:vAlign w:val="center"/>
            <w:hideMark/>
          </w:tcPr>
          <w:p w14:paraId="6A3DC98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50</w:t>
            </w:r>
          </w:p>
        </w:tc>
      </w:tr>
      <w:tr w:rsidR="00DD1F3F" w14:paraId="1C3F397E" w14:textId="77777777" w:rsidTr="001F2E76">
        <w:trPr>
          <w:trHeight w:val="345"/>
        </w:trPr>
        <w:tc>
          <w:tcPr>
            <w:tcW w:w="3020" w:type="dxa"/>
            <w:shd w:val="clear" w:color="auto" w:fill="auto"/>
            <w:noWrap/>
            <w:vAlign w:val="center"/>
            <w:hideMark/>
          </w:tcPr>
          <w:p w14:paraId="05BB7C00" w14:textId="033955ED" w:rsidR="00256171" w:rsidRPr="00C43910" w:rsidRDefault="000D07EC" w:rsidP="00256171">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Exposure </w:t>
            </w:r>
            <w:r w:rsidR="008D705F" w:rsidRPr="00C43910">
              <w:rPr>
                <w:rFonts w:eastAsia="맑은 고딕"/>
                <w:color w:val="000000"/>
                <w:sz w:val="24"/>
                <w:szCs w:val="24"/>
              </w:rPr>
              <w:t xml:space="preserve">duration </w:t>
            </w:r>
            <w:r w:rsidRPr="00C43910">
              <w:rPr>
                <w:rFonts w:eastAsia="맑은 고딕"/>
                <w:color w:val="000000"/>
                <w:sz w:val="24"/>
                <w:szCs w:val="24"/>
              </w:rPr>
              <w:t>(h/yr)</w:t>
            </w:r>
          </w:p>
        </w:tc>
        <w:tc>
          <w:tcPr>
            <w:tcW w:w="1080" w:type="dxa"/>
            <w:shd w:val="clear" w:color="auto" w:fill="auto"/>
            <w:noWrap/>
            <w:vAlign w:val="center"/>
            <w:hideMark/>
          </w:tcPr>
          <w:p w14:paraId="0490AF25"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0.15</w:t>
            </w:r>
          </w:p>
        </w:tc>
        <w:tc>
          <w:tcPr>
            <w:tcW w:w="1080" w:type="dxa"/>
            <w:shd w:val="clear" w:color="auto" w:fill="auto"/>
            <w:noWrap/>
            <w:vAlign w:val="center"/>
            <w:hideMark/>
          </w:tcPr>
          <w:p w14:paraId="3D9BD93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3.7</w:t>
            </w:r>
          </w:p>
        </w:tc>
        <w:tc>
          <w:tcPr>
            <w:tcW w:w="1080" w:type="dxa"/>
            <w:shd w:val="clear" w:color="auto" w:fill="auto"/>
            <w:noWrap/>
            <w:vAlign w:val="center"/>
            <w:hideMark/>
          </w:tcPr>
          <w:p w14:paraId="1EE7C980"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9.95</w:t>
            </w:r>
          </w:p>
        </w:tc>
        <w:tc>
          <w:tcPr>
            <w:tcW w:w="1080" w:type="dxa"/>
            <w:shd w:val="clear" w:color="auto" w:fill="auto"/>
            <w:noWrap/>
            <w:vAlign w:val="center"/>
            <w:hideMark/>
          </w:tcPr>
          <w:p w14:paraId="3D29FCC8"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0.7</w:t>
            </w:r>
          </w:p>
        </w:tc>
        <w:tc>
          <w:tcPr>
            <w:tcW w:w="1080" w:type="dxa"/>
            <w:shd w:val="clear" w:color="auto" w:fill="auto"/>
            <w:noWrap/>
            <w:vAlign w:val="center"/>
            <w:hideMark/>
          </w:tcPr>
          <w:p w14:paraId="0ED350DD"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0.2</w:t>
            </w:r>
          </w:p>
        </w:tc>
        <w:tc>
          <w:tcPr>
            <w:tcW w:w="1080" w:type="dxa"/>
            <w:shd w:val="clear" w:color="auto" w:fill="auto"/>
            <w:noWrap/>
            <w:vAlign w:val="center"/>
            <w:hideMark/>
          </w:tcPr>
          <w:p w14:paraId="5BD1D758" w14:textId="77777777" w:rsidR="00256171" w:rsidRPr="00721786" w:rsidRDefault="000D07EC" w:rsidP="00256171">
            <w:pPr>
              <w:widowControl/>
              <w:spacing w:after="0" w:line="240" w:lineRule="auto"/>
              <w:jc w:val="center"/>
              <w:rPr>
                <w:rFonts w:eastAsia="맑은 고딕"/>
                <w:color w:val="000000"/>
                <w:sz w:val="24"/>
                <w:szCs w:val="24"/>
              </w:rPr>
            </w:pPr>
            <w:r w:rsidRPr="00721786">
              <w:rPr>
                <w:rFonts w:eastAsia="맑은 고딕"/>
                <w:color w:val="000000"/>
                <w:sz w:val="24"/>
                <w:szCs w:val="24"/>
              </w:rPr>
              <w:t>0.2</w:t>
            </w:r>
          </w:p>
        </w:tc>
      </w:tr>
    </w:tbl>
    <w:p w14:paraId="3B4522E9" w14:textId="77777777" w:rsidR="00A43D6E" w:rsidRDefault="00A43D6E">
      <w:pPr>
        <w:spacing w:after="200" w:line="480" w:lineRule="auto"/>
        <w:jc w:val="left"/>
        <w:rPr>
          <w:b/>
          <w:sz w:val="24"/>
        </w:rPr>
      </w:pPr>
    </w:p>
    <w:p w14:paraId="3B4522EA" w14:textId="77777777" w:rsidR="00A43D6E" w:rsidRDefault="000D07EC">
      <w:pPr>
        <w:widowControl/>
        <w:jc w:val="left"/>
        <w:rPr>
          <w:b/>
          <w:sz w:val="24"/>
        </w:rPr>
      </w:pPr>
      <w:r>
        <w:rPr>
          <w:sz w:val="24"/>
        </w:rPr>
        <w:br w:type="page"/>
      </w:r>
    </w:p>
    <w:p w14:paraId="3B452337" w14:textId="4685F30B" w:rsidR="00A43D6E" w:rsidRDefault="000D07EC">
      <w:pPr>
        <w:pStyle w:val="af2"/>
        <w:jc w:val="left"/>
        <w:rPr>
          <w:sz w:val="24"/>
        </w:rPr>
      </w:pPr>
      <w:bookmarkStart w:id="12" w:name="bm281"/>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3</w:t>
      </w:r>
      <w:r>
        <w:rPr>
          <w:sz w:val="24"/>
        </w:rPr>
        <w:fldChar w:fldCharType="end"/>
      </w:r>
      <w:bookmarkEnd w:id="12"/>
      <w:r>
        <w:rPr>
          <w:sz w:val="24"/>
        </w:rPr>
        <w:t xml:space="preserve"> </w:t>
      </w:r>
      <w:r>
        <w:rPr>
          <w:b w:val="0"/>
          <w:sz w:val="24"/>
        </w:rPr>
        <w:t>Benchmarking conditions for recycling scenarios with 30 cm of concrete shielding.</w:t>
      </w:r>
    </w:p>
    <w:tbl>
      <w:tblPr>
        <w:tblW w:w="9336" w:type="dxa"/>
        <w:jc w:val="center"/>
        <w:tblBorders>
          <w:top w:val="single" w:sz="12" w:space="0" w:color="auto"/>
          <w:bottom w:val="single" w:sz="12" w:space="0" w:color="auto"/>
          <w:insideH w:val="single" w:sz="4" w:space="0" w:color="auto"/>
        </w:tblBorders>
        <w:tblCellMar>
          <w:left w:w="99" w:type="dxa"/>
          <w:right w:w="99" w:type="dxa"/>
        </w:tblCellMar>
        <w:tblLook w:val="04A0" w:firstRow="1" w:lastRow="0" w:firstColumn="1" w:lastColumn="0" w:noHBand="0" w:noVBand="1"/>
      </w:tblPr>
      <w:tblGrid>
        <w:gridCol w:w="3796"/>
        <w:gridCol w:w="1357"/>
        <w:gridCol w:w="18"/>
        <w:gridCol w:w="10"/>
        <w:gridCol w:w="1329"/>
        <w:gridCol w:w="37"/>
        <w:gridCol w:w="19"/>
        <w:gridCol w:w="1357"/>
        <w:gridCol w:w="28"/>
        <w:gridCol w:w="14"/>
        <w:gridCol w:w="1334"/>
        <w:gridCol w:w="37"/>
      </w:tblGrid>
      <w:tr w:rsidR="00DD1F3F" w14:paraId="206D67EC" w14:textId="77777777" w:rsidTr="003D2556">
        <w:trPr>
          <w:trHeight w:val="1007"/>
          <w:jc w:val="center"/>
        </w:trPr>
        <w:tc>
          <w:tcPr>
            <w:tcW w:w="3796" w:type="dxa"/>
            <w:tcBorders>
              <w:top w:val="single" w:sz="12" w:space="0" w:color="auto"/>
              <w:bottom w:val="double" w:sz="4" w:space="0" w:color="auto"/>
            </w:tcBorders>
            <w:shd w:val="clear" w:color="auto" w:fill="auto"/>
            <w:noWrap/>
            <w:vAlign w:val="center"/>
            <w:hideMark/>
          </w:tcPr>
          <w:p w14:paraId="69009FD3" w14:textId="07816690" w:rsidR="003D2556" w:rsidRPr="005B1928" w:rsidRDefault="000D07EC" w:rsidP="003D2556">
            <w:pPr>
              <w:widowControl/>
              <w:spacing w:after="0" w:line="240" w:lineRule="auto"/>
              <w:jc w:val="center"/>
              <w:rPr>
                <w:rFonts w:eastAsia="맑은 고딕"/>
                <w:b/>
                <w:bCs/>
                <w:color w:val="000000"/>
                <w:sz w:val="24"/>
                <w:szCs w:val="24"/>
              </w:rPr>
            </w:pPr>
            <w:r w:rsidRPr="005B1928">
              <w:rPr>
                <w:rFonts w:eastAsia="맑은 고딕"/>
                <w:b/>
                <w:bCs/>
                <w:color w:val="000000"/>
                <w:sz w:val="24"/>
                <w:szCs w:val="24"/>
              </w:rPr>
              <w:t xml:space="preserve">Calculation </w:t>
            </w:r>
            <w:r w:rsidR="008D705F" w:rsidRPr="005B1928">
              <w:rPr>
                <w:rFonts w:eastAsia="맑은 고딕"/>
                <w:b/>
                <w:bCs/>
                <w:color w:val="000000"/>
                <w:sz w:val="24"/>
                <w:szCs w:val="24"/>
              </w:rPr>
              <w:t>parameter</w:t>
            </w:r>
          </w:p>
        </w:tc>
        <w:tc>
          <w:tcPr>
            <w:tcW w:w="1357" w:type="dxa"/>
            <w:tcBorders>
              <w:top w:val="single" w:sz="12" w:space="0" w:color="auto"/>
              <w:bottom w:val="double" w:sz="4" w:space="0" w:color="auto"/>
            </w:tcBorders>
            <w:shd w:val="clear" w:color="auto" w:fill="auto"/>
            <w:vAlign w:val="center"/>
            <w:hideMark/>
          </w:tcPr>
          <w:p w14:paraId="580062C1" w14:textId="0B35D30E" w:rsidR="003D2556" w:rsidRPr="005B1928" w:rsidRDefault="000D07EC" w:rsidP="003D2556">
            <w:pPr>
              <w:widowControl/>
              <w:spacing w:after="0" w:line="240" w:lineRule="auto"/>
              <w:jc w:val="center"/>
              <w:rPr>
                <w:rFonts w:eastAsia="맑은 고딕"/>
                <w:b/>
                <w:bCs/>
                <w:color w:val="000000"/>
                <w:sz w:val="24"/>
                <w:szCs w:val="24"/>
              </w:rPr>
            </w:pPr>
            <w:r w:rsidRPr="005B1928">
              <w:rPr>
                <w:rFonts w:eastAsia="맑은 고딕"/>
                <w:b/>
                <w:bCs/>
                <w:color w:val="000000"/>
                <w:sz w:val="24"/>
                <w:szCs w:val="24"/>
              </w:rPr>
              <w:t xml:space="preserve">Scrap </w:t>
            </w:r>
            <w:r w:rsidR="008D705F" w:rsidRPr="005B1928">
              <w:rPr>
                <w:rFonts w:eastAsia="맑은 고딕"/>
                <w:b/>
                <w:bCs/>
                <w:color w:val="000000"/>
                <w:sz w:val="24"/>
                <w:szCs w:val="24"/>
              </w:rPr>
              <w:t>yard worker</w:t>
            </w:r>
          </w:p>
        </w:tc>
        <w:tc>
          <w:tcPr>
            <w:tcW w:w="1357" w:type="dxa"/>
            <w:gridSpan w:val="3"/>
            <w:tcBorders>
              <w:top w:val="single" w:sz="12" w:space="0" w:color="auto"/>
              <w:bottom w:val="double" w:sz="4" w:space="0" w:color="auto"/>
            </w:tcBorders>
            <w:shd w:val="clear" w:color="auto" w:fill="auto"/>
            <w:vAlign w:val="center"/>
            <w:hideMark/>
          </w:tcPr>
          <w:p w14:paraId="21D95EAE" w14:textId="595D7519" w:rsidR="003D2556" w:rsidRPr="005B1928" w:rsidRDefault="000D07EC" w:rsidP="003D2556">
            <w:pPr>
              <w:widowControl/>
              <w:spacing w:after="0" w:line="240" w:lineRule="auto"/>
              <w:jc w:val="center"/>
              <w:rPr>
                <w:rFonts w:eastAsia="맑은 고딕"/>
                <w:b/>
                <w:bCs/>
                <w:color w:val="000000"/>
                <w:sz w:val="24"/>
                <w:szCs w:val="24"/>
              </w:rPr>
            </w:pPr>
            <w:r w:rsidRPr="005B1928">
              <w:rPr>
                <w:rFonts w:eastAsia="맑은 고딕"/>
                <w:b/>
                <w:bCs/>
                <w:color w:val="000000"/>
                <w:sz w:val="24"/>
                <w:szCs w:val="24"/>
              </w:rPr>
              <w:t xml:space="preserve">Smelter </w:t>
            </w:r>
            <w:r w:rsidR="008D705F" w:rsidRPr="005B1928">
              <w:rPr>
                <w:rFonts w:eastAsia="맑은 고딕"/>
                <w:b/>
                <w:bCs/>
                <w:color w:val="000000"/>
                <w:sz w:val="24"/>
                <w:szCs w:val="24"/>
              </w:rPr>
              <w:t>loader</w:t>
            </w:r>
          </w:p>
        </w:tc>
        <w:tc>
          <w:tcPr>
            <w:tcW w:w="1455" w:type="dxa"/>
            <w:gridSpan w:val="5"/>
            <w:tcBorders>
              <w:top w:val="single" w:sz="12" w:space="0" w:color="auto"/>
              <w:bottom w:val="double" w:sz="4" w:space="0" w:color="auto"/>
            </w:tcBorders>
            <w:shd w:val="clear" w:color="auto" w:fill="auto"/>
            <w:vAlign w:val="center"/>
            <w:hideMark/>
          </w:tcPr>
          <w:p w14:paraId="2B120783" w14:textId="061691FB" w:rsidR="003D2556" w:rsidRPr="005B1928" w:rsidRDefault="000D07EC" w:rsidP="003D2556">
            <w:pPr>
              <w:widowControl/>
              <w:spacing w:after="0" w:line="240" w:lineRule="auto"/>
              <w:jc w:val="center"/>
              <w:rPr>
                <w:rFonts w:eastAsia="맑은 고딕"/>
                <w:b/>
                <w:bCs/>
                <w:color w:val="000000"/>
                <w:sz w:val="24"/>
                <w:szCs w:val="24"/>
              </w:rPr>
            </w:pPr>
            <w:r w:rsidRPr="005B1928">
              <w:rPr>
                <w:rFonts w:eastAsia="맑은 고딕"/>
                <w:b/>
                <w:bCs/>
                <w:color w:val="000000"/>
                <w:sz w:val="24"/>
                <w:szCs w:val="24"/>
              </w:rPr>
              <w:t xml:space="preserve">Furnace </w:t>
            </w:r>
            <w:r w:rsidR="008D705F" w:rsidRPr="005B1928">
              <w:rPr>
                <w:rFonts w:eastAsia="맑은 고딕"/>
                <w:b/>
                <w:bCs/>
                <w:color w:val="000000"/>
                <w:sz w:val="24"/>
                <w:szCs w:val="24"/>
              </w:rPr>
              <w:t>operator</w:t>
            </w:r>
          </w:p>
        </w:tc>
        <w:tc>
          <w:tcPr>
            <w:tcW w:w="1371" w:type="dxa"/>
            <w:gridSpan w:val="2"/>
            <w:tcBorders>
              <w:top w:val="single" w:sz="12" w:space="0" w:color="auto"/>
              <w:bottom w:val="double" w:sz="4" w:space="0" w:color="auto"/>
            </w:tcBorders>
            <w:shd w:val="clear" w:color="auto" w:fill="auto"/>
            <w:vAlign w:val="center"/>
            <w:hideMark/>
          </w:tcPr>
          <w:p w14:paraId="6DB6FF4F" w14:textId="645EB7E8" w:rsidR="003D2556" w:rsidRPr="005B1928" w:rsidRDefault="000D07EC" w:rsidP="003D2556">
            <w:pPr>
              <w:widowControl/>
              <w:spacing w:after="0" w:line="240" w:lineRule="auto"/>
              <w:jc w:val="center"/>
              <w:rPr>
                <w:rFonts w:eastAsia="맑은 고딕"/>
                <w:b/>
                <w:bCs/>
                <w:color w:val="000000"/>
                <w:sz w:val="24"/>
                <w:szCs w:val="24"/>
              </w:rPr>
            </w:pPr>
            <w:r w:rsidRPr="005B1928">
              <w:rPr>
                <w:rFonts w:eastAsia="맑은 고딕"/>
                <w:b/>
                <w:bCs/>
                <w:color w:val="000000"/>
                <w:sz w:val="24"/>
                <w:szCs w:val="24"/>
              </w:rPr>
              <w:t xml:space="preserve">Refinery </w:t>
            </w:r>
            <w:r w:rsidR="008D705F" w:rsidRPr="005B1928">
              <w:rPr>
                <w:rFonts w:eastAsia="맑은 고딕"/>
                <w:b/>
                <w:bCs/>
                <w:color w:val="000000"/>
                <w:sz w:val="24"/>
                <w:szCs w:val="24"/>
              </w:rPr>
              <w:t>worker</w:t>
            </w:r>
          </w:p>
        </w:tc>
      </w:tr>
      <w:tr w:rsidR="00DD1F3F" w14:paraId="1784BDA5" w14:textId="77777777" w:rsidTr="003D2556">
        <w:trPr>
          <w:gridAfter w:val="1"/>
          <w:wAfter w:w="37" w:type="dxa"/>
          <w:trHeight w:val="371"/>
          <w:jc w:val="center"/>
        </w:trPr>
        <w:tc>
          <w:tcPr>
            <w:tcW w:w="3796" w:type="dxa"/>
            <w:tcBorders>
              <w:top w:val="double" w:sz="4" w:space="0" w:color="auto"/>
            </w:tcBorders>
            <w:shd w:val="clear" w:color="auto" w:fill="auto"/>
            <w:noWrap/>
            <w:vAlign w:val="center"/>
            <w:hideMark/>
          </w:tcPr>
          <w:p w14:paraId="203883B5" w14:textId="190D948D"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Source geometry</w:t>
            </w:r>
          </w:p>
        </w:tc>
        <w:tc>
          <w:tcPr>
            <w:tcW w:w="1375" w:type="dxa"/>
            <w:gridSpan w:val="2"/>
            <w:tcBorders>
              <w:top w:val="double" w:sz="4" w:space="0" w:color="auto"/>
            </w:tcBorders>
            <w:shd w:val="clear" w:color="auto" w:fill="auto"/>
            <w:noWrap/>
            <w:vAlign w:val="center"/>
            <w:hideMark/>
          </w:tcPr>
          <w:p w14:paraId="3321685C" w14:textId="77777777" w:rsidR="003D2556" w:rsidRPr="00721786" w:rsidRDefault="000D07EC" w:rsidP="003D2556">
            <w:pPr>
              <w:widowControl/>
              <w:spacing w:after="0" w:line="240" w:lineRule="auto"/>
              <w:jc w:val="center"/>
              <w:rPr>
                <w:sz w:val="24"/>
                <w:szCs w:val="24"/>
              </w:rPr>
            </w:pPr>
            <w:r w:rsidRPr="00721786">
              <w:rPr>
                <w:rFonts w:eastAsia="맑은 고딕" w:hint="eastAsia"/>
                <w:color w:val="000000"/>
                <w:sz w:val="24"/>
                <w:szCs w:val="24"/>
              </w:rPr>
              <w:t>Half Cylinder</w:t>
            </w:r>
          </w:p>
        </w:tc>
        <w:tc>
          <w:tcPr>
            <w:tcW w:w="1376" w:type="dxa"/>
            <w:gridSpan w:val="3"/>
            <w:tcBorders>
              <w:top w:val="double" w:sz="4" w:space="0" w:color="auto"/>
            </w:tcBorders>
            <w:shd w:val="clear" w:color="auto" w:fill="auto"/>
            <w:vAlign w:val="center"/>
          </w:tcPr>
          <w:p w14:paraId="23AD4E57" w14:textId="77777777" w:rsidR="003D2556" w:rsidRPr="00721786" w:rsidRDefault="000D07EC" w:rsidP="003D2556">
            <w:pPr>
              <w:widowControl/>
              <w:spacing w:after="0" w:line="240" w:lineRule="auto"/>
              <w:jc w:val="center"/>
              <w:rPr>
                <w:sz w:val="24"/>
                <w:szCs w:val="24"/>
              </w:rPr>
            </w:pPr>
            <w:r w:rsidRPr="00721786">
              <w:rPr>
                <w:rFonts w:hint="eastAsia"/>
                <w:sz w:val="24"/>
                <w:szCs w:val="24"/>
              </w:rPr>
              <w:t>Half Cylinder</w:t>
            </w:r>
          </w:p>
        </w:tc>
        <w:tc>
          <w:tcPr>
            <w:tcW w:w="1376" w:type="dxa"/>
            <w:gridSpan w:val="2"/>
            <w:tcBorders>
              <w:top w:val="double" w:sz="4" w:space="0" w:color="auto"/>
            </w:tcBorders>
            <w:shd w:val="clear" w:color="auto" w:fill="auto"/>
            <w:vAlign w:val="center"/>
          </w:tcPr>
          <w:p w14:paraId="4AA32CEE" w14:textId="77777777" w:rsidR="003D2556" w:rsidRPr="00721786" w:rsidRDefault="000D07EC" w:rsidP="003D2556">
            <w:pPr>
              <w:widowControl/>
              <w:spacing w:after="0" w:line="240" w:lineRule="auto"/>
              <w:jc w:val="center"/>
              <w:rPr>
                <w:sz w:val="24"/>
                <w:szCs w:val="24"/>
              </w:rPr>
            </w:pPr>
            <w:r w:rsidRPr="00721786">
              <w:rPr>
                <w:rFonts w:hint="eastAsia"/>
                <w:sz w:val="24"/>
                <w:szCs w:val="24"/>
              </w:rPr>
              <w:t>Cylinder</w:t>
            </w:r>
          </w:p>
        </w:tc>
        <w:tc>
          <w:tcPr>
            <w:tcW w:w="1376" w:type="dxa"/>
            <w:gridSpan w:val="3"/>
            <w:tcBorders>
              <w:top w:val="double" w:sz="4" w:space="0" w:color="auto"/>
            </w:tcBorders>
            <w:shd w:val="clear" w:color="auto" w:fill="auto"/>
            <w:vAlign w:val="center"/>
          </w:tcPr>
          <w:p w14:paraId="70FF91AE" w14:textId="77777777" w:rsidR="003D2556" w:rsidRPr="00721786" w:rsidRDefault="000D07EC" w:rsidP="003D2556">
            <w:pPr>
              <w:widowControl/>
              <w:spacing w:after="0" w:line="240" w:lineRule="auto"/>
              <w:jc w:val="center"/>
              <w:rPr>
                <w:sz w:val="24"/>
                <w:szCs w:val="24"/>
              </w:rPr>
            </w:pPr>
            <w:r w:rsidRPr="00721786">
              <w:rPr>
                <w:rFonts w:hint="eastAsia"/>
                <w:sz w:val="24"/>
                <w:szCs w:val="24"/>
              </w:rPr>
              <w:t>Cylinder</w:t>
            </w:r>
          </w:p>
        </w:tc>
      </w:tr>
      <w:tr w:rsidR="00DD1F3F" w14:paraId="0C0F9AE7" w14:textId="77777777" w:rsidTr="003D2556">
        <w:trPr>
          <w:trHeight w:val="354"/>
          <w:jc w:val="center"/>
        </w:trPr>
        <w:tc>
          <w:tcPr>
            <w:tcW w:w="3796" w:type="dxa"/>
            <w:shd w:val="clear" w:color="auto" w:fill="auto"/>
            <w:noWrap/>
            <w:vAlign w:val="center"/>
            <w:hideMark/>
          </w:tcPr>
          <w:p w14:paraId="5A6C191D" w14:textId="1B77A9F3"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Shielding effect</w:t>
            </w:r>
          </w:p>
        </w:tc>
        <w:tc>
          <w:tcPr>
            <w:tcW w:w="1385" w:type="dxa"/>
            <w:gridSpan w:val="3"/>
            <w:shd w:val="clear" w:color="auto" w:fill="auto"/>
            <w:noWrap/>
            <w:vAlign w:val="center"/>
            <w:hideMark/>
          </w:tcPr>
          <w:p w14:paraId="000C53E4"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O</w:t>
            </w:r>
          </w:p>
        </w:tc>
        <w:tc>
          <w:tcPr>
            <w:tcW w:w="1385" w:type="dxa"/>
            <w:gridSpan w:val="3"/>
            <w:shd w:val="clear" w:color="auto" w:fill="auto"/>
            <w:vAlign w:val="center"/>
          </w:tcPr>
          <w:p w14:paraId="73FB09F2" w14:textId="77777777" w:rsidR="003D2556" w:rsidRPr="00721786" w:rsidRDefault="000D07EC" w:rsidP="003D2556">
            <w:pPr>
              <w:widowControl/>
              <w:spacing w:after="0" w:line="240" w:lineRule="auto"/>
              <w:jc w:val="center"/>
              <w:rPr>
                <w:rFonts w:eastAsia="맑은 고딕"/>
                <w:color w:val="000000"/>
                <w:sz w:val="24"/>
                <w:szCs w:val="24"/>
              </w:rPr>
            </w:pPr>
            <w:r>
              <w:rPr>
                <w:rFonts w:eastAsia="맑은 고딕" w:hint="eastAsia"/>
                <w:color w:val="000000"/>
                <w:sz w:val="24"/>
                <w:szCs w:val="24"/>
              </w:rPr>
              <w:t>O</w:t>
            </w:r>
          </w:p>
        </w:tc>
        <w:tc>
          <w:tcPr>
            <w:tcW w:w="1385" w:type="dxa"/>
            <w:gridSpan w:val="2"/>
            <w:shd w:val="clear" w:color="auto" w:fill="auto"/>
            <w:vAlign w:val="center"/>
          </w:tcPr>
          <w:p w14:paraId="00B98AFF" w14:textId="77777777" w:rsidR="003D2556" w:rsidRPr="00721786" w:rsidRDefault="000D07EC" w:rsidP="003D2556">
            <w:pPr>
              <w:widowControl/>
              <w:spacing w:after="0" w:line="240" w:lineRule="auto"/>
              <w:jc w:val="center"/>
              <w:rPr>
                <w:rFonts w:eastAsia="맑은 고딕"/>
                <w:color w:val="000000"/>
                <w:sz w:val="24"/>
                <w:szCs w:val="24"/>
              </w:rPr>
            </w:pPr>
            <w:r>
              <w:rPr>
                <w:rFonts w:eastAsia="맑은 고딕" w:hint="eastAsia"/>
                <w:color w:val="000000"/>
                <w:sz w:val="24"/>
                <w:szCs w:val="24"/>
              </w:rPr>
              <w:t>O</w:t>
            </w:r>
          </w:p>
        </w:tc>
        <w:tc>
          <w:tcPr>
            <w:tcW w:w="1385" w:type="dxa"/>
            <w:gridSpan w:val="3"/>
            <w:shd w:val="clear" w:color="auto" w:fill="auto"/>
            <w:vAlign w:val="center"/>
          </w:tcPr>
          <w:p w14:paraId="6916001F" w14:textId="77777777" w:rsidR="003D2556" w:rsidRPr="00721786" w:rsidRDefault="000D07EC" w:rsidP="003D2556">
            <w:pPr>
              <w:widowControl/>
              <w:spacing w:after="0" w:line="240" w:lineRule="auto"/>
              <w:jc w:val="center"/>
              <w:rPr>
                <w:rFonts w:eastAsia="맑은 고딕"/>
                <w:color w:val="000000"/>
                <w:sz w:val="24"/>
                <w:szCs w:val="24"/>
              </w:rPr>
            </w:pPr>
            <w:r>
              <w:rPr>
                <w:rFonts w:eastAsia="맑은 고딕" w:hint="eastAsia"/>
                <w:color w:val="000000"/>
                <w:sz w:val="24"/>
                <w:szCs w:val="24"/>
              </w:rPr>
              <w:t>O</w:t>
            </w:r>
          </w:p>
        </w:tc>
      </w:tr>
      <w:tr w:rsidR="00DD1F3F" w14:paraId="554E07C6" w14:textId="77777777" w:rsidTr="003D2556">
        <w:trPr>
          <w:trHeight w:val="354"/>
          <w:jc w:val="center"/>
        </w:trPr>
        <w:tc>
          <w:tcPr>
            <w:tcW w:w="3796" w:type="dxa"/>
            <w:shd w:val="clear" w:color="auto" w:fill="auto"/>
            <w:noWrap/>
            <w:vAlign w:val="center"/>
            <w:hideMark/>
          </w:tcPr>
          <w:p w14:paraId="4DB6559A" w14:textId="48667C7F"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Shielding material</w:t>
            </w:r>
          </w:p>
        </w:tc>
        <w:tc>
          <w:tcPr>
            <w:tcW w:w="1385" w:type="dxa"/>
            <w:gridSpan w:val="3"/>
            <w:shd w:val="clear" w:color="auto" w:fill="auto"/>
            <w:noWrap/>
            <w:vAlign w:val="center"/>
            <w:hideMark/>
          </w:tcPr>
          <w:p w14:paraId="66FECBEF"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Concrete</w:t>
            </w:r>
          </w:p>
        </w:tc>
        <w:tc>
          <w:tcPr>
            <w:tcW w:w="1385" w:type="dxa"/>
            <w:gridSpan w:val="3"/>
            <w:shd w:val="clear" w:color="auto" w:fill="auto"/>
            <w:vAlign w:val="center"/>
          </w:tcPr>
          <w:p w14:paraId="57E28B9B"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Concrete</w:t>
            </w:r>
          </w:p>
        </w:tc>
        <w:tc>
          <w:tcPr>
            <w:tcW w:w="1385" w:type="dxa"/>
            <w:gridSpan w:val="2"/>
            <w:shd w:val="clear" w:color="auto" w:fill="auto"/>
            <w:vAlign w:val="center"/>
          </w:tcPr>
          <w:p w14:paraId="291295D9"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Concrete</w:t>
            </w:r>
          </w:p>
        </w:tc>
        <w:tc>
          <w:tcPr>
            <w:tcW w:w="1385" w:type="dxa"/>
            <w:gridSpan w:val="3"/>
            <w:shd w:val="clear" w:color="auto" w:fill="auto"/>
            <w:vAlign w:val="center"/>
          </w:tcPr>
          <w:p w14:paraId="490B65D2"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Concrete</w:t>
            </w:r>
          </w:p>
        </w:tc>
      </w:tr>
      <w:tr w:rsidR="00DD1F3F" w14:paraId="1E27B00C" w14:textId="77777777" w:rsidTr="003D2556">
        <w:trPr>
          <w:trHeight w:val="354"/>
          <w:jc w:val="center"/>
        </w:trPr>
        <w:tc>
          <w:tcPr>
            <w:tcW w:w="3796" w:type="dxa"/>
            <w:shd w:val="clear" w:color="auto" w:fill="auto"/>
            <w:noWrap/>
            <w:vAlign w:val="center"/>
            <w:hideMark/>
          </w:tcPr>
          <w:p w14:paraId="2D8D12A5" w14:textId="0C91F86A"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Shielding </w:t>
            </w:r>
            <w:r w:rsidR="008D705F" w:rsidRPr="00C43910">
              <w:rPr>
                <w:rFonts w:eastAsia="맑은 고딕"/>
                <w:color w:val="000000"/>
                <w:sz w:val="24"/>
                <w:szCs w:val="24"/>
              </w:rPr>
              <w:t xml:space="preserve">thickness </w:t>
            </w:r>
            <w:r w:rsidRPr="00C43910">
              <w:rPr>
                <w:rFonts w:eastAsia="맑은 고딕"/>
                <w:color w:val="000000"/>
                <w:sz w:val="24"/>
                <w:szCs w:val="24"/>
              </w:rPr>
              <w:t>(cm)</w:t>
            </w:r>
          </w:p>
        </w:tc>
        <w:tc>
          <w:tcPr>
            <w:tcW w:w="1385" w:type="dxa"/>
            <w:gridSpan w:val="3"/>
            <w:shd w:val="clear" w:color="auto" w:fill="auto"/>
            <w:noWrap/>
            <w:vAlign w:val="center"/>
            <w:hideMark/>
          </w:tcPr>
          <w:p w14:paraId="18110402"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w:t>
            </w:r>
          </w:p>
        </w:tc>
        <w:tc>
          <w:tcPr>
            <w:tcW w:w="1385" w:type="dxa"/>
            <w:gridSpan w:val="3"/>
            <w:shd w:val="clear" w:color="auto" w:fill="auto"/>
            <w:vAlign w:val="center"/>
          </w:tcPr>
          <w:p w14:paraId="5FD37FD1"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w:t>
            </w:r>
          </w:p>
        </w:tc>
        <w:tc>
          <w:tcPr>
            <w:tcW w:w="1385" w:type="dxa"/>
            <w:gridSpan w:val="2"/>
            <w:shd w:val="clear" w:color="auto" w:fill="auto"/>
            <w:vAlign w:val="center"/>
          </w:tcPr>
          <w:p w14:paraId="4FDB4C84"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w:t>
            </w:r>
          </w:p>
        </w:tc>
        <w:tc>
          <w:tcPr>
            <w:tcW w:w="1385" w:type="dxa"/>
            <w:gridSpan w:val="3"/>
            <w:shd w:val="clear" w:color="auto" w:fill="auto"/>
            <w:vAlign w:val="center"/>
          </w:tcPr>
          <w:p w14:paraId="2B134AC2"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w:t>
            </w:r>
          </w:p>
        </w:tc>
      </w:tr>
      <w:tr w:rsidR="00DD1F3F" w14:paraId="77FA0FF4" w14:textId="77777777" w:rsidTr="003D2556">
        <w:trPr>
          <w:trHeight w:val="354"/>
          <w:jc w:val="center"/>
        </w:trPr>
        <w:tc>
          <w:tcPr>
            <w:tcW w:w="3796" w:type="dxa"/>
            <w:shd w:val="clear" w:color="auto" w:fill="auto"/>
            <w:noWrap/>
            <w:vAlign w:val="center"/>
            <w:hideMark/>
          </w:tcPr>
          <w:p w14:paraId="73997F58" w14:textId="4F5DFB3C" w:rsidR="003D2556" w:rsidRPr="003C58A9" w:rsidRDefault="000D07EC" w:rsidP="003D2556">
            <w:pPr>
              <w:widowControl/>
              <w:spacing w:after="0" w:line="240" w:lineRule="auto"/>
              <w:jc w:val="center"/>
              <w:rPr>
                <w:rFonts w:eastAsia="맑은 고딕"/>
                <w:color w:val="000000"/>
                <w:sz w:val="24"/>
                <w:szCs w:val="24"/>
              </w:rPr>
            </w:pPr>
            <w:r w:rsidRPr="003C58A9">
              <w:rPr>
                <w:rFonts w:eastAsia="맑은 고딕"/>
                <w:color w:val="000000"/>
                <w:sz w:val="24"/>
                <w:szCs w:val="24"/>
              </w:rPr>
              <w:t xml:space="preserve">Shielding </w:t>
            </w:r>
            <w:r w:rsidR="008D705F" w:rsidRPr="003C58A9">
              <w:rPr>
                <w:rFonts w:eastAsia="맑은 고딕"/>
                <w:color w:val="000000"/>
                <w:sz w:val="24"/>
                <w:szCs w:val="24"/>
              </w:rPr>
              <w:t xml:space="preserve">density </w:t>
            </w:r>
            <w:r w:rsidRPr="003C58A9">
              <w:rPr>
                <w:rFonts w:eastAsia="맑은 고딕"/>
                <w:color w:val="000000"/>
                <w:sz w:val="24"/>
                <w:szCs w:val="24"/>
              </w:rPr>
              <w:t>(g/cm</w:t>
            </w:r>
            <w:r w:rsidRPr="00472E37">
              <w:rPr>
                <w:rFonts w:eastAsia="맑은 고딕"/>
                <w:color w:val="000000"/>
                <w:sz w:val="24"/>
                <w:szCs w:val="24"/>
                <w:vertAlign w:val="superscript"/>
              </w:rPr>
              <w:t>3</w:t>
            </w:r>
            <w:r w:rsidRPr="003C58A9">
              <w:rPr>
                <w:rFonts w:eastAsia="맑은 고딕"/>
                <w:color w:val="000000"/>
                <w:sz w:val="24"/>
                <w:szCs w:val="24"/>
              </w:rPr>
              <w:t>)</w:t>
            </w:r>
          </w:p>
        </w:tc>
        <w:tc>
          <w:tcPr>
            <w:tcW w:w="1385" w:type="dxa"/>
            <w:gridSpan w:val="3"/>
            <w:shd w:val="clear" w:color="auto" w:fill="auto"/>
            <w:noWrap/>
            <w:vAlign w:val="center"/>
          </w:tcPr>
          <w:p w14:paraId="62B73BA4"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2.8</w:t>
            </w:r>
          </w:p>
        </w:tc>
        <w:tc>
          <w:tcPr>
            <w:tcW w:w="1385" w:type="dxa"/>
            <w:gridSpan w:val="3"/>
            <w:shd w:val="clear" w:color="auto" w:fill="auto"/>
            <w:vAlign w:val="center"/>
          </w:tcPr>
          <w:p w14:paraId="2A77F957"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2.8</w:t>
            </w:r>
          </w:p>
        </w:tc>
        <w:tc>
          <w:tcPr>
            <w:tcW w:w="1385" w:type="dxa"/>
            <w:gridSpan w:val="2"/>
            <w:shd w:val="clear" w:color="auto" w:fill="auto"/>
            <w:vAlign w:val="center"/>
          </w:tcPr>
          <w:p w14:paraId="57A5549F"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2.8</w:t>
            </w:r>
          </w:p>
        </w:tc>
        <w:tc>
          <w:tcPr>
            <w:tcW w:w="1385" w:type="dxa"/>
            <w:gridSpan w:val="3"/>
            <w:shd w:val="clear" w:color="auto" w:fill="auto"/>
            <w:vAlign w:val="center"/>
          </w:tcPr>
          <w:p w14:paraId="7CAC45AE"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2.8</w:t>
            </w:r>
          </w:p>
        </w:tc>
      </w:tr>
      <w:tr w:rsidR="00DD1F3F" w14:paraId="5A38097B" w14:textId="77777777" w:rsidTr="003D2556">
        <w:trPr>
          <w:trHeight w:val="354"/>
          <w:jc w:val="center"/>
        </w:trPr>
        <w:tc>
          <w:tcPr>
            <w:tcW w:w="3796" w:type="dxa"/>
            <w:shd w:val="clear" w:color="auto" w:fill="auto"/>
            <w:noWrap/>
            <w:vAlign w:val="center"/>
            <w:hideMark/>
          </w:tcPr>
          <w:p w14:paraId="4F430BA3" w14:textId="77777777" w:rsidR="003D2556" w:rsidRPr="003C58A9" w:rsidRDefault="000D07EC" w:rsidP="003D2556">
            <w:pPr>
              <w:widowControl/>
              <w:spacing w:after="0" w:line="240" w:lineRule="auto"/>
              <w:jc w:val="center"/>
              <w:rPr>
                <w:rFonts w:eastAsia="맑은 고딕"/>
                <w:color w:val="000000"/>
                <w:sz w:val="24"/>
                <w:szCs w:val="24"/>
              </w:rPr>
            </w:pPr>
            <w:r w:rsidRPr="003C58A9">
              <w:rPr>
                <w:rFonts w:eastAsia="맑은 고딕"/>
                <w:color w:val="000000"/>
                <w:sz w:val="24"/>
                <w:szCs w:val="24"/>
              </w:rPr>
              <w:t>Mass (t)</w:t>
            </w:r>
          </w:p>
        </w:tc>
        <w:tc>
          <w:tcPr>
            <w:tcW w:w="1385" w:type="dxa"/>
            <w:gridSpan w:val="3"/>
            <w:shd w:val="clear" w:color="auto" w:fill="auto"/>
            <w:noWrap/>
            <w:vAlign w:val="center"/>
          </w:tcPr>
          <w:p w14:paraId="5A2239C4"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w:t>
            </w:r>
          </w:p>
        </w:tc>
        <w:tc>
          <w:tcPr>
            <w:tcW w:w="1385" w:type="dxa"/>
            <w:gridSpan w:val="3"/>
            <w:shd w:val="clear" w:color="auto" w:fill="auto"/>
            <w:vAlign w:val="center"/>
          </w:tcPr>
          <w:p w14:paraId="6E0EEDF7"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w:t>
            </w:r>
          </w:p>
        </w:tc>
        <w:tc>
          <w:tcPr>
            <w:tcW w:w="1385" w:type="dxa"/>
            <w:gridSpan w:val="2"/>
            <w:shd w:val="clear" w:color="auto" w:fill="auto"/>
            <w:vAlign w:val="center"/>
          </w:tcPr>
          <w:p w14:paraId="4DCC0DCC"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w:t>
            </w:r>
          </w:p>
        </w:tc>
        <w:tc>
          <w:tcPr>
            <w:tcW w:w="1385" w:type="dxa"/>
            <w:gridSpan w:val="3"/>
            <w:shd w:val="clear" w:color="auto" w:fill="auto"/>
            <w:vAlign w:val="center"/>
          </w:tcPr>
          <w:p w14:paraId="283A28B2"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w:t>
            </w:r>
          </w:p>
        </w:tc>
      </w:tr>
      <w:tr w:rsidR="00DD1F3F" w14:paraId="25ABF87F" w14:textId="77777777" w:rsidTr="003D2556">
        <w:trPr>
          <w:trHeight w:val="354"/>
          <w:jc w:val="center"/>
        </w:trPr>
        <w:tc>
          <w:tcPr>
            <w:tcW w:w="3796" w:type="dxa"/>
            <w:shd w:val="clear" w:color="auto" w:fill="auto"/>
            <w:noWrap/>
            <w:vAlign w:val="center"/>
            <w:hideMark/>
          </w:tcPr>
          <w:p w14:paraId="32D0A533" w14:textId="03069CA9" w:rsidR="003D2556" w:rsidRPr="003C58A9" w:rsidRDefault="000D07EC" w:rsidP="003D2556">
            <w:pPr>
              <w:widowControl/>
              <w:spacing w:after="0" w:line="240" w:lineRule="auto"/>
              <w:jc w:val="center"/>
              <w:rPr>
                <w:rFonts w:eastAsia="맑은 고딕"/>
                <w:color w:val="000000"/>
                <w:sz w:val="24"/>
                <w:szCs w:val="24"/>
              </w:rPr>
            </w:pPr>
            <w:r w:rsidRPr="003C58A9">
              <w:rPr>
                <w:rFonts w:eastAsia="맑은 고딕"/>
                <w:color w:val="000000"/>
                <w:sz w:val="24"/>
                <w:szCs w:val="24"/>
              </w:rPr>
              <w:t xml:space="preserve">Source </w:t>
            </w:r>
            <w:r w:rsidR="008D705F" w:rsidRPr="003C58A9">
              <w:rPr>
                <w:rFonts w:eastAsia="맑은 고딕"/>
                <w:color w:val="000000"/>
                <w:sz w:val="24"/>
                <w:szCs w:val="24"/>
              </w:rPr>
              <w:t xml:space="preserve">density </w:t>
            </w:r>
            <w:r w:rsidRPr="003C58A9">
              <w:rPr>
                <w:rFonts w:eastAsia="맑은 고딕"/>
                <w:color w:val="000000"/>
                <w:sz w:val="24"/>
                <w:szCs w:val="24"/>
              </w:rPr>
              <w:t>(g/cm</w:t>
            </w:r>
            <w:r w:rsidRPr="00472E37">
              <w:rPr>
                <w:rFonts w:eastAsia="맑은 고딕"/>
                <w:color w:val="000000"/>
                <w:sz w:val="24"/>
                <w:szCs w:val="24"/>
                <w:vertAlign w:val="superscript"/>
              </w:rPr>
              <w:t>3</w:t>
            </w:r>
            <w:r w:rsidRPr="003C58A9">
              <w:rPr>
                <w:rFonts w:eastAsia="맑은 고딕"/>
                <w:color w:val="000000"/>
                <w:sz w:val="24"/>
                <w:szCs w:val="24"/>
              </w:rPr>
              <w:t>)</w:t>
            </w:r>
          </w:p>
        </w:tc>
        <w:tc>
          <w:tcPr>
            <w:tcW w:w="1357" w:type="dxa"/>
            <w:shd w:val="clear" w:color="auto" w:fill="auto"/>
            <w:noWrap/>
            <w:vAlign w:val="center"/>
            <w:hideMark/>
          </w:tcPr>
          <w:p w14:paraId="095E767D"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5.9</w:t>
            </w:r>
          </w:p>
        </w:tc>
        <w:tc>
          <w:tcPr>
            <w:tcW w:w="1357" w:type="dxa"/>
            <w:gridSpan w:val="3"/>
            <w:shd w:val="clear" w:color="auto" w:fill="auto"/>
            <w:noWrap/>
            <w:vAlign w:val="center"/>
            <w:hideMark/>
          </w:tcPr>
          <w:p w14:paraId="07F44E8A"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5.9</w:t>
            </w:r>
          </w:p>
        </w:tc>
        <w:tc>
          <w:tcPr>
            <w:tcW w:w="1455" w:type="dxa"/>
            <w:gridSpan w:val="5"/>
            <w:shd w:val="clear" w:color="auto" w:fill="auto"/>
            <w:noWrap/>
            <w:vAlign w:val="center"/>
            <w:hideMark/>
          </w:tcPr>
          <w:p w14:paraId="4275AF4B"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7.86</w:t>
            </w:r>
          </w:p>
        </w:tc>
        <w:tc>
          <w:tcPr>
            <w:tcW w:w="1371" w:type="dxa"/>
            <w:gridSpan w:val="2"/>
            <w:shd w:val="clear" w:color="auto" w:fill="auto"/>
            <w:noWrap/>
            <w:vAlign w:val="center"/>
            <w:hideMark/>
          </w:tcPr>
          <w:p w14:paraId="37D29BB3"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7.86</w:t>
            </w:r>
          </w:p>
        </w:tc>
      </w:tr>
      <w:tr w:rsidR="00DD1F3F" w14:paraId="35F339FA" w14:textId="77777777" w:rsidTr="003D2556">
        <w:trPr>
          <w:trHeight w:val="354"/>
          <w:jc w:val="center"/>
        </w:trPr>
        <w:tc>
          <w:tcPr>
            <w:tcW w:w="3796" w:type="dxa"/>
            <w:shd w:val="clear" w:color="auto" w:fill="auto"/>
            <w:noWrap/>
            <w:vAlign w:val="center"/>
            <w:hideMark/>
          </w:tcPr>
          <w:p w14:paraId="5168EB24" w14:textId="13A86046"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Source </w:t>
            </w:r>
            <w:r w:rsidR="008D705F" w:rsidRPr="00C43910">
              <w:rPr>
                <w:rFonts w:eastAsia="맑은 고딕"/>
                <w:color w:val="000000"/>
                <w:sz w:val="24"/>
                <w:szCs w:val="24"/>
              </w:rPr>
              <w:t xml:space="preserve">height </w:t>
            </w:r>
            <w:r w:rsidRPr="00C43910">
              <w:rPr>
                <w:rFonts w:eastAsia="맑은 고딕"/>
                <w:color w:val="000000"/>
                <w:sz w:val="24"/>
                <w:szCs w:val="24"/>
              </w:rPr>
              <w:t>(cm)</w:t>
            </w:r>
          </w:p>
        </w:tc>
        <w:tc>
          <w:tcPr>
            <w:tcW w:w="1357" w:type="dxa"/>
            <w:shd w:val="clear" w:color="auto" w:fill="auto"/>
            <w:noWrap/>
            <w:vAlign w:val="center"/>
            <w:hideMark/>
          </w:tcPr>
          <w:p w14:paraId="41119719"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109</w:t>
            </w:r>
          </w:p>
        </w:tc>
        <w:tc>
          <w:tcPr>
            <w:tcW w:w="1357" w:type="dxa"/>
            <w:gridSpan w:val="3"/>
            <w:shd w:val="clear" w:color="auto" w:fill="auto"/>
            <w:noWrap/>
            <w:vAlign w:val="center"/>
            <w:hideMark/>
          </w:tcPr>
          <w:p w14:paraId="5ADE7DCF"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109</w:t>
            </w:r>
          </w:p>
        </w:tc>
        <w:tc>
          <w:tcPr>
            <w:tcW w:w="1455" w:type="dxa"/>
            <w:gridSpan w:val="5"/>
            <w:shd w:val="clear" w:color="auto" w:fill="auto"/>
            <w:noWrap/>
            <w:vAlign w:val="center"/>
            <w:hideMark/>
          </w:tcPr>
          <w:p w14:paraId="248D6556"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79</w:t>
            </w:r>
          </w:p>
        </w:tc>
        <w:tc>
          <w:tcPr>
            <w:tcW w:w="1371" w:type="dxa"/>
            <w:gridSpan w:val="2"/>
            <w:shd w:val="clear" w:color="auto" w:fill="auto"/>
            <w:noWrap/>
            <w:vAlign w:val="center"/>
            <w:hideMark/>
          </w:tcPr>
          <w:p w14:paraId="5F7566BD"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73</w:t>
            </w:r>
          </w:p>
        </w:tc>
      </w:tr>
      <w:tr w:rsidR="00DD1F3F" w14:paraId="170A7DAB" w14:textId="77777777" w:rsidTr="003D2556">
        <w:trPr>
          <w:trHeight w:val="354"/>
          <w:jc w:val="center"/>
        </w:trPr>
        <w:tc>
          <w:tcPr>
            <w:tcW w:w="3796" w:type="dxa"/>
            <w:shd w:val="clear" w:color="auto" w:fill="auto"/>
            <w:noWrap/>
            <w:vAlign w:val="center"/>
            <w:hideMark/>
          </w:tcPr>
          <w:p w14:paraId="4F03F314" w14:textId="77777777"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Radius (cm)</w:t>
            </w:r>
          </w:p>
        </w:tc>
        <w:tc>
          <w:tcPr>
            <w:tcW w:w="1357" w:type="dxa"/>
            <w:shd w:val="clear" w:color="auto" w:fill="auto"/>
            <w:noWrap/>
            <w:vAlign w:val="center"/>
            <w:hideMark/>
          </w:tcPr>
          <w:p w14:paraId="65911623"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54</w:t>
            </w:r>
          </w:p>
        </w:tc>
        <w:tc>
          <w:tcPr>
            <w:tcW w:w="1357" w:type="dxa"/>
            <w:gridSpan w:val="3"/>
            <w:shd w:val="clear" w:color="auto" w:fill="auto"/>
            <w:noWrap/>
            <w:vAlign w:val="center"/>
            <w:hideMark/>
          </w:tcPr>
          <w:p w14:paraId="0A0B2EAF"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54</w:t>
            </w:r>
          </w:p>
        </w:tc>
        <w:tc>
          <w:tcPr>
            <w:tcW w:w="1455" w:type="dxa"/>
            <w:gridSpan w:val="5"/>
            <w:shd w:val="clear" w:color="auto" w:fill="auto"/>
            <w:noWrap/>
            <w:vAlign w:val="center"/>
            <w:hideMark/>
          </w:tcPr>
          <w:p w14:paraId="6A0AAD9D"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40</w:t>
            </w:r>
          </w:p>
        </w:tc>
        <w:tc>
          <w:tcPr>
            <w:tcW w:w="1371" w:type="dxa"/>
            <w:gridSpan w:val="2"/>
            <w:shd w:val="clear" w:color="auto" w:fill="auto"/>
            <w:noWrap/>
            <w:vAlign w:val="center"/>
            <w:hideMark/>
          </w:tcPr>
          <w:p w14:paraId="36B34929"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41</w:t>
            </w:r>
          </w:p>
        </w:tc>
      </w:tr>
      <w:tr w:rsidR="00DD1F3F" w14:paraId="45FDD918" w14:textId="77777777" w:rsidTr="003D2556">
        <w:trPr>
          <w:trHeight w:val="354"/>
          <w:jc w:val="center"/>
        </w:trPr>
        <w:tc>
          <w:tcPr>
            <w:tcW w:w="3796" w:type="dxa"/>
            <w:shd w:val="clear" w:color="auto" w:fill="auto"/>
            <w:noWrap/>
            <w:vAlign w:val="center"/>
            <w:hideMark/>
          </w:tcPr>
          <w:p w14:paraId="0883BF73" w14:textId="77777777"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Distance (cm)</w:t>
            </w:r>
          </w:p>
        </w:tc>
        <w:tc>
          <w:tcPr>
            <w:tcW w:w="1357" w:type="dxa"/>
            <w:shd w:val="clear" w:color="auto" w:fill="auto"/>
            <w:noWrap/>
            <w:vAlign w:val="center"/>
            <w:hideMark/>
          </w:tcPr>
          <w:p w14:paraId="41544657"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1000</w:t>
            </w:r>
          </w:p>
        </w:tc>
        <w:tc>
          <w:tcPr>
            <w:tcW w:w="1357" w:type="dxa"/>
            <w:gridSpan w:val="3"/>
            <w:shd w:val="clear" w:color="auto" w:fill="auto"/>
            <w:noWrap/>
            <w:vAlign w:val="center"/>
            <w:hideMark/>
          </w:tcPr>
          <w:p w14:paraId="591B4DD9"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400</w:t>
            </w:r>
          </w:p>
        </w:tc>
        <w:tc>
          <w:tcPr>
            <w:tcW w:w="1455" w:type="dxa"/>
            <w:gridSpan w:val="5"/>
            <w:shd w:val="clear" w:color="auto" w:fill="auto"/>
            <w:noWrap/>
            <w:vAlign w:val="center"/>
            <w:hideMark/>
          </w:tcPr>
          <w:p w14:paraId="07865A4C"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300</w:t>
            </w:r>
          </w:p>
        </w:tc>
        <w:tc>
          <w:tcPr>
            <w:tcW w:w="1371" w:type="dxa"/>
            <w:gridSpan w:val="2"/>
            <w:shd w:val="clear" w:color="auto" w:fill="auto"/>
            <w:noWrap/>
            <w:vAlign w:val="center"/>
            <w:hideMark/>
          </w:tcPr>
          <w:p w14:paraId="4842CEA1"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300</w:t>
            </w:r>
          </w:p>
        </w:tc>
      </w:tr>
      <w:tr w:rsidR="00DD1F3F" w14:paraId="27007299" w14:textId="77777777" w:rsidTr="003D2556">
        <w:trPr>
          <w:trHeight w:val="354"/>
          <w:jc w:val="center"/>
        </w:trPr>
        <w:tc>
          <w:tcPr>
            <w:tcW w:w="3796" w:type="dxa"/>
            <w:shd w:val="clear" w:color="auto" w:fill="auto"/>
            <w:noWrap/>
            <w:vAlign w:val="center"/>
            <w:hideMark/>
          </w:tcPr>
          <w:p w14:paraId="367E490F" w14:textId="4ED6E774" w:rsidR="003D2556" w:rsidRPr="00C43910" w:rsidRDefault="000D07EC" w:rsidP="003D2556">
            <w:pPr>
              <w:widowControl/>
              <w:spacing w:after="0" w:line="240" w:lineRule="auto"/>
              <w:jc w:val="center"/>
              <w:rPr>
                <w:rFonts w:eastAsia="맑은 고딕"/>
                <w:color w:val="000000"/>
                <w:sz w:val="24"/>
                <w:szCs w:val="24"/>
              </w:rPr>
            </w:pPr>
            <w:r w:rsidRPr="00C43910">
              <w:rPr>
                <w:rFonts w:eastAsia="맑은 고딕"/>
                <w:color w:val="000000"/>
                <w:sz w:val="24"/>
                <w:szCs w:val="24"/>
              </w:rPr>
              <w:t xml:space="preserve">Exposure </w:t>
            </w:r>
            <w:r w:rsidR="008D705F" w:rsidRPr="00C43910">
              <w:rPr>
                <w:rFonts w:eastAsia="맑은 고딕"/>
                <w:color w:val="000000"/>
                <w:sz w:val="24"/>
                <w:szCs w:val="24"/>
              </w:rPr>
              <w:t xml:space="preserve">duration </w:t>
            </w:r>
            <w:r w:rsidRPr="00C43910">
              <w:rPr>
                <w:rFonts w:eastAsia="맑은 고딕"/>
                <w:color w:val="000000"/>
                <w:sz w:val="24"/>
                <w:szCs w:val="24"/>
              </w:rPr>
              <w:t>(h/yr)</w:t>
            </w:r>
          </w:p>
        </w:tc>
        <w:tc>
          <w:tcPr>
            <w:tcW w:w="1357" w:type="dxa"/>
            <w:shd w:val="clear" w:color="auto" w:fill="auto"/>
            <w:noWrap/>
            <w:vAlign w:val="center"/>
            <w:hideMark/>
          </w:tcPr>
          <w:p w14:paraId="25C58809"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24</w:t>
            </w:r>
          </w:p>
        </w:tc>
        <w:tc>
          <w:tcPr>
            <w:tcW w:w="1357" w:type="dxa"/>
            <w:gridSpan w:val="3"/>
            <w:shd w:val="clear" w:color="auto" w:fill="auto"/>
            <w:noWrap/>
            <w:vAlign w:val="center"/>
            <w:hideMark/>
          </w:tcPr>
          <w:p w14:paraId="260094F7"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1.2</w:t>
            </w:r>
          </w:p>
        </w:tc>
        <w:tc>
          <w:tcPr>
            <w:tcW w:w="1455" w:type="dxa"/>
            <w:gridSpan w:val="5"/>
            <w:shd w:val="clear" w:color="auto" w:fill="auto"/>
            <w:noWrap/>
            <w:vAlign w:val="center"/>
            <w:hideMark/>
          </w:tcPr>
          <w:p w14:paraId="7F5F9D72"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1.5</w:t>
            </w:r>
          </w:p>
        </w:tc>
        <w:tc>
          <w:tcPr>
            <w:tcW w:w="1371" w:type="dxa"/>
            <w:gridSpan w:val="2"/>
            <w:shd w:val="clear" w:color="auto" w:fill="auto"/>
            <w:noWrap/>
            <w:vAlign w:val="center"/>
            <w:hideMark/>
          </w:tcPr>
          <w:p w14:paraId="122816D4" w14:textId="77777777" w:rsidR="003D2556" w:rsidRPr="00721786" w:rsidRDefault="000D07EC" w:rsidP="003D2556">
            <w:pPr>
              <w:widowControl/>
              <w:spacing w:after="0" w:line="240" w:lineRule="auto"/>
              <w:jc w:val="center"/>
              <w:rPr>
                <w:rFonts w:eastAsia="맑은 고딕"/>
                <w:color w:val="000000"/>
                <w:sz w:val="24"/>
                <w:szCs w:val="24"/>
              </w:rPr>
            </w:pPr>
            <w:r w:rsidRPr="00721786">
              <w:rPr>
                <w:rFonts w:eastAsia="맑은 고딕" w:hint="eastAsia"/>
                <w:color w:val="000000"/>
                <w:sz w:val="24"/>
                <w:szCs w:val="24"/>
              </w:rPr>
              <w:t>1.5</w:t>
            </w:r>
          </w:p>
        </w:tc>
      </w:tr>
    </w:tbl>
    <w:p w14:paraId="3B452381" w14:textId="77777777" w:rsidR="00A43D6E" w:rsidRDefault="00A43D6E">
      <w:pPr>
        <w:spacing w:after="200" w:line="480" w:lineRule="auto"/>
        <w:jc w:val="left"/>
        <w:rPr>
          <w:b/>
          <w:sz w:val="24"/>
        </w:rPr>
      </w:pPr>
    </w:p>
    <w:p w14:paraId="3B452382" w14:textId="77777777" w:rsidR="00A43D6E" w:rsidRDefault="000D07EC">
      <w:pPr>
        <w:widowControl/>
        <w:jc w:val="left"/>
        <w:rPr>
          <w:b/>
          <w:sz w:val="24"/>
        </w:rPr>
      </w:pPr>
      <w:r>
        <w:rPr>
          <w:sz w:val="24"/>
        </w:rPr>
        <w:br w:type="page"/>
      </w:r>
    </w:p>
    <w:p w14:paraId="3B4523B6" w14:textId="2DF640E1" w:rsidR="00A43D6E" w:rsidRDefault="000D07EC">
      <w:pPr>
        <w:pStyle w:val="af2"/>
        <w:jc w:val="left"/>
        <w:rPr>
          <w:b w:val="0"/>
          <w:sz w:val="24"/>
        </w:rPr>
      </w:pPr>
      <w:bookmarkStart w:id="13" w:name="bm286"/>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4</w:t>
      </w:r>
      <w:r>
        <w:rPr>
          <w:sz w:val="24"/>
        </w:rPr>
        <w:fldChar w:fldCharType="end"/>
      </w:r>
      <w:bookmarkEnd w:id="13"/>
      <w:r>
        <w:rPr>
          <w:rFonts w:ascii="Calibri" w:eastAsia="Calibri" w:hAnsi="Calibri" w:cs="Calibri"/>
        </w:rPr>
        <w:t xml:space="preserve"> </w:t>
      </w:r>
      <w:r>
        <w:rPr>
          <w:b w:val="0"/>
          <w:sz w:val="24"/>
        </w:rPr>
        <w:t>Benchmarking conditions for various cylinder, disk, plane, rectangular volume, and sphere source geometries.</w:t>
      </w:r>
    </w:p>
    <w:tbl>
      <w:tblPr>
        <w:tblStyle w:val="a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83"/>
        <w:gridCol w:w="1771"/>
        <w:gridCol w:w="2194"/>
        <w:gridCol w:w="1719"/>
        <w:gridCol w:w="1771"/>
      </w:tblGrid>
      <w:tr w:rsidR="00DD1F3F" w14:paraId="12F11A9E" w14:textId="77777777" w:rsidTr="00736117">
        <w:trPr>
          <w:trHeight w:val="829"/>
          <w:jc w:val="center"/>
        </w:trPr>
        <w:tc>
          <w:tcPr>
            <w:tcW w:w="1883" w:type="dxa"/>
            <w:tcBorders>
              <w:top w:val="single" w:sz="12" w:space="0" w:color="auto"/>
              <w:bottom w:val="double" w:sz="4" w:space="0" w:color="auto"/>
            </w:tcBorders>
            <w:vAlign w:val="center"/>
          </w:tcPr>
          <w:p w14:paraId="66AF48DB" w14:textId="3F86FB26" w:rsidR="00906513" w:rsidRPr="005B1928" w:rsidRDefault="000D07EC" w:rsidP="00802D4D">
            <w:pPr>
              <w:spacing w:after="0" w:line="240" w:lineRule="auto"/>
              <w:jc w:val="center"/>
              <w:rPr>
                <w:b/>
                <w:sz w:val="24"/>
                <w:szCs w:val="24"/>
              </w:rPr>
            </w:pPr>
            <w:proofErr w:type="spellStart"/>
            <w:r w:rsidRPr="005B1928">
              <w:rPr>
                <w:b/>
                <w:sz w:val="24"/>
                <w:szCs w:val="24"/>
              </w:rPr>
              <w:t>Source</w:t>
            </w:r>
            <w:r w:rsidRPr="005B1928">
              <w:rPr>
                <w:b/>
                <w:sz w:val="24"/>
                <w:szCs w:val="24"/>
                <w:vertAlign w:val="superscript"/>
              </w:rPr>
              <w:t>a</w:t>
            </w:r>
            <w:proofErr w:type="spellEnd"/>
            <w:r w:rsidRPr="005B1928">
              <w:rPr>
                <w:b/>
                <w:sz w:val="24"/>
                <w:szCs w:val="24"/>
              </w:rPr>
              <w:t xml:space="preserve"> </w:t>
            </w:r>
            <w:r w:rsidR="00A62A97" w:rsidRPr="005B1928">
              <w:rPr>
                <w:b/>
                <w:sz w:val="24"/>
                <w:szCs w:val="24"/>
              </w:rPr>
              <w:t>geometry</w:t>
            </w:r>
          </w:p>
        </w:tc>
        <w:tc>
          <w:tcPr>
            <w:tcW w:w="1771" w:type="dxa"/>
            <w:tcBorders>
              <w:top w:val="single" w:sz="12" w:space="0" w:color="auto"/>
              <w:bottom w:val="double" w:sz="4" w:space="0" w:color="auto"/>
            </w:tcBorders>
            <w:vAlign w:val="center"/>
          </w:tcPr>
          <w:p w14:paraId="6D8AD4F8" w14:textId="657F3599" w:rsidR="00906513" w:rsidRPr="005B1928" w:rsidRDefault="000D07EC" w:rsidP="00802D4D">
            <w:pPr>
              <w:spacing w:after="0"/>
              <w:jc w:val="center"/>
              <w:rPr>
                <w:b/>
                <w:sz w:val="24"/>
                <w:szCs w:val="24"/>
              </w:rPr>
            </w:pPr>
            <w:r w:rsidRPr="005B1928">
              <w:rPr>
                <w:b/>
                <w:sz w:val="24"/>
                <w:szCs w:val="24"/>
              </w:rPr>
              <w:t xml:space="preserve">Source </w:t>
            </w:r>
            <w:r w:rsidR="00A62A97" w:rsidRPr="005B1928">
              <w:rPr>
                <w:b/>
                <w:sz w:val="24"/>
                <w:szCs w:val="24"/>
              </w:rPr>
              <w:t xml:space="preserve">thickness </w:t>
            </w:r>
            <w:r w:rsidRPr="005B1928">
              <w:rPr>
                <w:b/>
                <w:sz w:val="24"/>
                <w:szCs w:val="24"/>
              </w:rPr>
              <w:t>[cm]</w:t>
            </w:r>
          </w:p>
        </w:tc>
        <w:tc>
          <w:tcPr>
            <w:tcW w:w="2194" w:type="dxa"/>
            <w:tcBorders>
              <w:top w:val="single" w:sz="12" w:space="0" w:color="auto"/>
              <w:bottom w:val="double" w:sz="4" w:space="0" w:color="auto"/>
            </w:tcBorders>
            <w:vAlign w:val="center"/>
          </w:tcPr>
          <w:p w14:paraId="02191F04" w14:textId="77777777" w:rsidR="00906513" w:rsidRPr="005B1928" w:rsidRDefault="000D07EC" w:rsidP="00802D4D">
            <w:pPr>
              <w:spacing w:after="0"/>
              <w:jc w:val="center"/>
              <w:rPr>
                <w:b/>
                <w:sz w:val="24"/>
                <w:szCs w:val="24"/>
              </w:rPr>
            </w:pPr>
            <w:proofErr w:type="spellStart"/>
            <w:r w:rsidRPr="005B1928">
              <w:rPr>
                <w:b/>
                <w:sz w:val="24"/>
                <w:szCs w:val="24"/>
              </w:rPr>
              <w:t>Dimension</w:t>
            </w:r>
            <w:r w:rsidRPr="005B1928">
              <w:rPr>
                <w:b/>
                <w:sz w:val="24"/>
                <w:szCs w:val="24"/>
                <w:vertAlign w:val="superscript"/>
              </w:rPr>
              <w:t>b</w:t>
            </w:r>
            <w:proofErr w:type="spellEnd"/>
            <w:r w:rsidRPr="005B1928">
              <w:rPr>
                <w:b/>
                <w:sz w:val="24"/>
                <w:szCs w:val="24"/>
              </w:rPr>
              <w:t xml:space="preserve"> [cm]</w:t>
            </w:r>
          </w:p>
        </w:tc>
        <w:tc>
          <w:tcPr>
            <w:tcW w:w="1719" w:type="dxa"/>
            <w:tcBorders>
              <w:top w:val="single" w:sz="12" w:space="0" w:color="auto"/>
              <w:bottom w:val="double" w:sz="4" w:space="0" w:color="auto"/>
            </w:tcBorders>
            <w:vAlign w:val="center"/>
          </w:tcPr>
          <w:p w14:paraId="18C785BE" w14:textId="77777777" w:rsidR="00906513" w:rsidRPr="005B1928" w:rsidRDefault="000D07EC" w:rsidP="00802D4D">
            <w:pPr>
              <w:spacing w:after="0"/>
              <w:jc w:val="center"/>
              <w:rPr>
                <w:b/>
                <w:sz w:val="24"/>
                <w:szCs w:val="24"/>
              </w:rPr>
            </w:pPr>
            <w:r w:rsidRPr="005B1928">
              <w:rPr>
                <w:b/>
                <w:sz w:val="24"/>
                <w:szCs w:val="24"/>
              </w:rPr>
              <w:t>Distance [cm]</w:t>
            </w:r>
          </w:p>
        </w:tc>
        <w:tc>
          <w:tcPr>
            <w:tcW w:w="1771" w:type="dxa"/>
            <w:tcBorders>
              <w:top w:val="single" w:sz="12" w:space="0" w:color="auto"/>
              <w:bottom w:val="double" w:sz="4" w:space="0" w:color="auto"/>
            </w:tcBorders>
            <w:vAlign w:val="center"/>
          </w:tcPr>
          <w:p w14:paraId="396280B9" w14:textId="49EF7496" w:rsidR="00906513" w:rsidRPr="005B1928" w:rsidRDefault="000D07EC" w:rsidP="00802D4D">
            <w:pPr>
              <w:spacing w:after="0"/>
              <w:jc w:val="center"/>
              <w:rPr>
                <w:b/>
                <w:sz w:val="24"/>
                <w:szCs w:val="24"/>
              </w:rPr>
            </w:pPr>
            <w:proofErr w:type="spellStart"/>
            <w:r w:rsidRPr="005B1928">
              <w:rPr>
                <w:b/>
                <w:sz w:val="24"/>
                <w:szCs w:val="24"/>
              </w:rPr>
              <w:t>Shielding</w:t>
            </w:r>
            <w:r w:rsidRPr="005B1928">
              <w:rPr>
                <w:b/>
                <w:sz w:val="24"/>
                <w:szCs w:val="24"/>
                <w:vertAlign w:val="superscript"/>
              </w:rPr>
              <w:t>c</w:t>
            </w:r>
            <w:proofErr w:type="spellEnd"/>
            <w:r w:rsidRPr="005B1928">
              <w:rPr>
                <w:b/>
                <w:sz w:val="24"/>
                <w:szCs w:val="24"/>
              </w:rPr>
              <w:t xml:space="preserve"> </w:t>
            </w:r>
            <w:r w:rsidR="00A62A97" w:rsidRPr="005B1928">
              <w:rPr>
                <w:b/>
                <w:sz w:val="24"/>
                <w:szCs w:val="24"/>
              </w:rPr>
              <w:t xml:space="preserve">thickness </w:t>
            </w:r>
            <w:r w:rsidRPr="005B1928">
              <w:rPr>
                <w:b/>
                <w:sz w:val="24"/>
                <w:szCs w:val="24"/>
              </w:rPr>
              <w:t>[cm]</w:t>
            </w:r>
          </w:p>
        </w:tc>
      </w:tr>
      <w:tr w:rsidR="00DD1F3F" w14:paraId="69437404" w14:textId="77777777" w:rsidTr="00736117">
        <w:trPr>
          <w:trHeight w:val="552"/>
          <w:jc w:val="center"/>
        </w:trPr>
        <w:tc>
          <w:tcPr>
            <w:tcW w:w="1883" w:type="dxa"/>
            <w:tcBorders>
              <w:top w:val="double" w:sz="4" w:space="0" w:color="auto"/>
            </w:tcBorders>
            <w:vAlign w:val="center"/>
          </w:tcPr>
          <w:p w14:paraId="4696D7F8" w14:textId="77777777" w:rsidR="00906513" w:rsidRPr="00721786" w:rsidRDefault="000D07EC" w:rsidP="00802D4D">
            <w:pPr>
              <w:spacing w:after="0" w:line="240" w:lineRule="auto"/>
              <w:jc w:val="center"/>
              <w:rPr>
                <w:bCs/>
                <w:sz w:val="24"/>
                <w:szCs w:val="24"/>
              </w:rPr>
            </w:pPr>
            <w:r w:rsidRPr="00721786">
              <w:rPr>
                <w:rFonts w:hint="eastAsia"/>
                <w:bCs/>
                <w:sz w:val="24"/>
                <w:szCs w:val="24"/>
              </w:rPr>
              <w:t>Cylinder</w:t>
            </w:r>
          </w:p>
        </w:tc>
        <w:tc>
          <w:tcPr>
            <w:tcW w:w="1771" w:type="dxa"/>
            <w:tcBorders>
              <w:top w:val="double" w:sz="4" w:space="0" w:color="auto"/>
            </w:tcBorders>
            <w:vAlign w:val="center"/>
          </w:tcPr>
          <w:p w14:paraId="23E82441" w14:textId="77777777" w:rsidR="00906513" w:rsidRPr="00721786" w:rsidRDefault="000D07EC" w:rsidP="00802D4D">
            <w:pPr>
              <w:spacing w:after="0"/>
              <w:jc w:val="center"/>
              <w:rPr>
                <w:bCs/>
                <w:sz w:val="24"/>
                <w:szCs w:val="24"/>
              </w:rPr>
            </w:pPr>
            <w:r w:rsidRPr="00721786">
              <w:rPr>
                <w:rFonts w:hint="eastAsia"/>
                <w:bCs/>
                <w:sz w:val="24"/>
                <w:szCs w:val="24"/>
              </w:rPr>
              <w:t>100</w:t>
            </w:r>
          </w:p>
        </w:tc>
        <w:tc>
          <w:tcPr>
            <w:tcW w:w="2194" w:type="dxa"/>
            <w:tcBorders>
              <w:top w:val="double" w:sz="4" w:space="0" w:color="auto"/>
            </w:tcBorders>
            <w:vAlign w:val="center"/>
          </w:tcPr>
          <w:p w14:paraId="1BC39F51" w14:textId="77777777" w:rsidR="00906513" w:rsidRPr="00721786" w:rsidRDefault="000D07EC" w:rsidP="00802D4D">
            <w:pPr>
              <w:spacing w:after="0"/>
              <w:jc w:val="center"/>
              <w:rPr>
                <w:bCs/>
                <w:sz w:val="24"/>
                <w:szCs w:val="24"/>
              </w:rPr>
            </w:pPr>
            <w:r w:rsidRPr="00721786">
              <w:rPr>
                <w:rFonts w:hint="eastAsia"/>
                <w:bCs/>
                <w:sz w:val="24"/>
                <w:szCs w:val="24"/>
              </w:rPr>
              <w:t>63.88</w:t>
            </w:r>
          </w:p>
        </w:tc>
        <w:tc>
          <w:tcPr>
            <w:tcW w:w="1719" w:type="dxa"/>
            <w:tcBorders>
              <w:top w:val="double" w:sz="4" w:space="0" w:color="auto"/>
            </w:tcBorders>
            <w:vAlign w:val="center"/>
          </w:tcPr>
          <w:p w14:paraId="3AC3A7C4" w14:textId="77777777" w:rsidR="00906513" w:rsidRPr="00721786" w:rsidRDefault="000D07EC" w:rsidP="00802D4D">
            <w:pPr>
              <w:spacing w:after="0"/>
              <w:jc w:val="center"/>
              <w:rPr>
                <w:bCs/>
                <w:sz w:val="24"/>
                <w:szCs w:val="24"/>
              </w:rPr>
            </w:pPr>
            <w:r w:rsidRPr="00721786">
              <w:rPr>
                <w:rFonts w:hint="eastAsia"/>
                <w:bCs/>
                <w:sz w:val="24"/>
                <w:szCs w:val="24"/>
              </w:rPr>
              <w:t>200</w:t>
            </w:r>
          </w:p>
        </w:tc>
        <w:tc>
          <w:tcPr>
            <w:tcW w:w="1771" w:type="dxa"/>
            <w:tcBorders>
              <w:top w:val="double" w:sz="4" w:space="0" w:color="auto"/>
            </w:tcBorders>
            <w:vAlign w:val="center"/>
          </w:tcPr>
          <w:p w14:paraId="7F07CCA9" w14:textId="77777777" w:rsidR="00906513" w:rsidRPr="00721786" w:rsidRDefault="000D07EC" w:rsidP="00802D4D">
            <w:pPr>
              <w:spacing w:after="0"/>
              <w:jc w:val="center"/>
              <w:rPr>
                <w:bCs/>
                <w:sz w:val="24"/>
                <w:szCs w:val="24"/>
              </w:rPr>
            </w:pPr>
            <w:r w:rsidRPr="00721786">
              <w:rPr>
                <w:rFonts w:hint="eastAsia"/>
                <w:bCs/>
                <w:sz w:val="24"/>
                <w:szCs w:val="24"/>
              </w:rPr>
              <w:t>30</w:t>
            </w:r>
          </w:p>
        </w:tc>
      </w:tr>
      <w:tr w:rsidR="00DD1F3F" w14:paraId="016D7702" w14:textId="77777777" w:rsidTr="00736117">
        <w:trPr>
          <w:trHeight w:val="552"/>
          <w:jc w:val="center"/>
        </w:trPr>
        <w:tc>
          <w:tcPr>
            <w:tcW w:w="1883" w:type="dxa"/>
            <w:vAlign w:val="center"/>
          </w:tcPr>
          <w:p w14:paraId="5BC6AAC6" w14:textId="77777777" w:rsidR="00906513" w:rsidRDefault="000D07EC" w:rsidP="00802D4D">
            <w:pPr>
              <w:spacing w:after="0" w:line="240" w:lineRule="auto"/>
              <w:jc w:val="center"/>
              <w:rPr>
                <w:bCs/>
                <w:sz w:val="24"/>
                <w:szCs w:val="24"/>
              </w:rPr>
            </w:pPr>
            <w:r>
              <w:rPr>
                <w:rFonts w:hint="eastAsia"/>
                <w:bCs/>
                <w:sz w:val="24"/>
                <w:szCs w:val="24"/>
              </w:rPr>
              <w:t>Disk</w:t>
            </w:r>
          </w:p>
        </w:tc>
        <w:tc>
          <w:tcPr>
            <w:tcW w:w="1771" w:type="dxa"/>
            <w:vAlign w:val="center"/>
          </w:tcPr>
          <w:p w14:paraId="6F92484A" w14:textId="77777777" w:rsidR="00906513" w:rsidRDefault="000D07EC" w:rsidP="00802D4D">
            <w:pPr>
              <w:spacing w:after="0"/>
              <w:jc w:val="center"/>
              <w:rPr>
                <w:bCs/>
                <w:sz w:val="24"/>
                <w:szCs w:val="24"/>
              </w:rPr>
            </w:pPr>
            <w:r>
              <w:rPr>
                <w:rFonts w:hint="eastAsia"/>
                <w:bCs/>
                <w:sz w:val="24"/>
                <w:szCs w:val="24"/>
              </w:rPr>
              <w:t>0</w:t>
            </w:r>
          </w:p>
        </w:tc>
        <w:tc>
          <w:tcPr>
            <w:tcW w:w="2194" w:type="dxa"/>
            <w:vAlign w:val="center"/>
          </w:tcPr>
          <w:p w14:paraId="59EC4155" w14:textId="77777777" w:rsidR="00906513" w:rsidRDefault="000D07EC" w:rsidP="00802D4D">
            <w:pPr>
              <w:spacing w:after="0"/>
              <w:jc w:val="center"/>
              <w:rPr>
                <w:bCs/>
                <w:sz w:val="24"/>
                <w:szCs w:val="24"/>
              </w:rPr>
            </w:pPr>
            <w:r>
              <w:rPr>
                <w:rFonts w:hint="eastAsia"/>
                <w:bCs/>
                <w:sz w:val="24"/>
                <w:szCs w:val="24"/>
              </w:rPr>
              <w:t>63.88</w:t>
            </w:r>
          </w:p>
        </w:tc>
        <w:tc>
          <w:tcPr>
            <w:tcW w:w="1719" w:type="dxa"/>
            <w:vAlign w:val="center"/>
          </w:tcPr>
          <w:p w14:paraId="57933CDC" w14:textId="77777777" w:rsidR="00906513" w:rsidRDefault="000D07EC" w:rsidP="00802D4D">
            <w:pPr>
              <w:spacing w:after="0"/>
              <w:jc w:val="center"/>
              <w:rPr>
                <w:bCs/>
                <w:sz w:val="24"/>
                <w:szCs w:val="24"/>
              </w:rPr>
            </w:pPr>
            <w:r>
              <w:rPr>
                <w:rFonts w:hint="eastAsia"/>
                <w:bCs/>
                <w:sz w:val="24"/>
                <w:szCs w:val="24"/>
              </w:rPr>
              <w:t>200</w:t>
            </w:r>
          </w:p>
        </w:tc>
        <w:tc>
          <w:tcPr>
            <w:tcW w:w="1771" w:type="dxa"/>
            <w:vAlign w:val="center"/>
          </w:tcPr>
          <w:p w14:paraId="46929BBD" w14:textId="77777777" w:rsidR="00906513" w:rsidRDefault="000D07EC" w:rsidP="00802D4D">
            <w:pPr>
              <w:spacing w:after="0"/>
              <w:jc w:val="center"/>
              <w:rPr>
                <w:bCs/>
                <w:sz w:val="24"/>
                <w:szCs w:val="24"/>
              </w:rPr>
            </w:pPr>
            <w:r>
              <w:rPr>
                <w:rFonts w:hint="eastAsia"/>
                <w:bCs/>
                <w:sz w:val="24"/>
                <w:szCs w:val="24"/>
              </w:rPr>
              <w:t>30</w:t>
            </w:r>
          </w:p>
        </w:tc>
      </w:tr>
      <w:tr w:rsidR="00DD1F3F" w14:paraId="0D1AFD94" w14:textId="77777777" w:rsidTr="00736117">
        <w:trPr>
          <w:trHeight w:val="552"/>
          <w:jc w:val="center"/>
        </w:trPr>
        <w:tc>
          <w:tcPr>
            <w:tcW w:w="1883" w:type="dxa"/>
            <w:vAlign w:val="center"/>
          </w:tcPr>
          <w:p w14:paraId="5F7B36EE" w14:textId="77777777" w:rsidR="00906513" w:rsidRDefault="000D07EC" w:rsidP="00802D4D">
            <w:pPr>
              <w:spacing w:after="0" w:line="240" w:lineRule="auto"/>
              <w:jc w:val="center"/>
              <w:rPr>
                <w:bCs/>
                <w:sz w:val="24"/>
                <w:szCs w:val="24"/>
              </w:rPr>
            </w:pPr>
            <w:r>
              <w:rPr>
                <w:rFonts w:hint="eastAsia"/>
                <w:bCs/>
                <w:sz w:val="24"/>
                <w:szCs w:val="24"/>
              </w:rPr>
              <w:t>Plane</w:t>
            </w:r>
          </w:p>
        </w:tc>
        <w:tc>
          <w:tcPr>
            <w:tcW w:w="1771" w:type="dxa"/>
            <w:vAlign w:val="center"/>
          </w:tcPr>
          <w:p w14:paraId="14F732F0" w14:textId="77777777" w:rsidR="00906513" w:rsidRDefault="000D07EC" w:rsidP="00802D4D">
            <w:pPr>
              <w:spacing w:after="0"/>
              <w:jc w:val="center"/>
              <w:rPr>
                <w:bCs/>
                <w:sz w:val="24"/>
                <w:szCs w:val="24"/>
              </w:rPr>
            </w:pPr>
            <w:r>
              <w:rPr>
                <w:rFonts w:hint="eastAsia"/>
                <w:bCs/>
                <w:sz w:val="24"/>
                <w:szCs w:val="24"/>
              </w:rPr>
              <w:t>0</w:t>
            </w:r>
          </w:p>
        </w:tc>
        <w:tc>
          <w:tcPr>
            <w:tcW w:w="2194" w:type="dxa"/>
            <w:vAlign w:val="center"/>
          </w:tcPr>
          <w:p w14:paraId="6A69E465" w14:textId="77777777" w:rsidR="00906513" w:rsidRDefault="000D07EC" w:rsidP="00802D4D">
            <w:pPr>
              <w:spacing w:after="0"/>
              <w:jc w:val="center"/>
              <w:rPr>
                <w:bCs/>
                <w:sz w:val="24"/>
                <w:szCs w:val="24"/>
              </w:rPr>
            </w:pPr>
            <w:r>
              <w:rPr>
                <w:rFonts w:hint="eastAsia"/>
                <w:bCs/>
                <w:sz w:val="24"/>
                <w:szCs w:val="24"/>
              </w:rPr>
              <w:t>112.79/112.79</w:t>
            </w:r>
          </w:p>
        </w:tc>
        <w:tc>
          <w:tcPr>
            <w:tcW w:w="1719" w:type="dxa"/>
            <w:vAlign w:val="center"/>
          </w:tcPr>
          <w:p w14:paraId="7B6BF445" w14:textId="77777777" w:rsidR="00906513" w:rsidRDefault="000D07EC" w:rsidP="00802D4D">
            <w:pPr>
              <w:spacing w:after="0"/>
              <w:jc w:val="center"/>
              <w:rPr>
                <w:bCs/>
                <w:sz w:val="24"/>
                <w:szCs w:val="24"/>
              </w:rPr>
            </w:pPr>
            <w:r>
              <w:rPr>
                <w:rFonts w:hint="eastAsia"/>
                <w:bCs/>
                <w:sz w:val="24"/>
                <w:szCs w:val="24"/>
              </w:rPr>
              <w:t>200</w:t>
            </w:r>
          </w:p>
        </w:tc>
        <w:tc>
          <w:tcPr>
            <w:tcW w:w="1771" w:type="dxa"/>
            <w:vAlign w:val="center"/>
          </w:tcPr>
          <w:p w14:paraId="7786E563" w14:textId="77777777" w:rsidR="00906513" w:rsidRDefault="000D07EC" w:rsidP="00802D4D">
            <w:pPr>
              <w:spacing w:after="0"/>
              <w:jc w:val="center"/>
              <w:rPr>
                <w:bCs/>
                <w:sz w:val="24"/>
                <w:szCs w:val="24"/>
              </w:rPr>
            </w:pPr>
            <w:r>
              <w:rPr>
                <w:rFonts w:hint="eastAsia"/>
                <w:bCs/>
                <w:sz w:val="24"/>
                <w:szCs w:val="24"/>
              </w:rPr>
              <w:t>30</w:t>
            </w:r>
          </w:p>
        </w:tc>
      </w:tr>
      <w:tr w:rsidR="00DD1F3F" w14:paraId="24A6DA95" w14:textId="77777777" w:rsidTr="00736117">
        <w:trPr>
          <w:trHeight w:val="552"/>
          <w:jc w:val="center"/>
        </w:trPr>
        <w:tc>
          <w:tcPr>
            <w:tcW w:w="1883" w:type="dxa"/>
            <w:tcBorders>
              <w:bottom w:val="single" w:sz="4" w:space="0" w:color="auto"/>
            </w:tcBorders>
            <w:vAlign w:val="center"/>
          </w:tcPr>
          <w:p w14:paraId="5F7EDEEC" w14:textId="0E8D706E" w:rsidR="00906513" w:rsidRDefault="000D07EC" w:rsidP="00802D4D">
            <w:pPr>
              <w:spacing w:after="0" w:line="240" w:lineRule="auto"/>
              <w:jc w:val="center"/>
              <w:rPr>
                <w:bCs/>
                <w:sz w:val="24"/>
                <w:szCs w:val="24"/>
              </w:rPr>
            </w:pPr>
            <w:r>
              <w:rPr>
                <w:rFonts w:hint="eastAsia"/>
                <w:bCs/>
                <w:sz w:val="24"/>
                <w:szCs w:val="24"/>
              </w:rPr>
              <w:t xml:space="preserve">Rectangular </w:t>
            </w:r>
            <w:r w:rsidR="00A62A97">
              <w:rPr>
                <w:bCs/>
                <w:sz w:val="24"/>
                <w:szCs w:val="24"/>
              </w:rPr>
              <w:t>volume</w:t>
            </w:r>
          </w:p>
        </w:tc>
        <w:tc>
          <w:tcPr>
            <w:tcW w:w="1771" w:type="dxa"/>
            <w:tcBorders>
              <w:bottom w:val="single" w:sz="4" w:space="0" w:color="auto"/>
            </w:tcBorders>
            <w:vAlign w:val="center"/>
          </w:tcPr>
          <w:p w14:paraId="213ADA81" w14:textId="77777777" w:rsidR="00906513" w:rsidRDefault="000D07EC" w:rsidP="00802D4D">
            <w:pPr>
              <w:spacing w:after="0"/>
              <w:jc w:val="center"/>
              <w:rPr>
                <w:bCs/>
                <w:sz w:val="24"/>
                <w:szCs w:val="24"/>
              </w:rPr>
            </w:pPr>
            <w:r>
              <w:rPr>
                <w:rFonts w:hint="eastAsia"/>
                <w:bCs/>
                <w:sz w:val="24"/>
                <w:szCs w:val="24"/>
              </w:rPr>
              <w:t>100</w:t>
            </w:r>
          </w:p>
        </w:tc>
        <w:tc>
          <w:tcPr>
            <w:tcW w:w="2194" w:type="dxa"/>
            <w:tcBorders>
              <w:bottom w:val="single" w:sz="4" w:space="0" w:color="auto"/>
            </w:tcBorders>
            <w:vAlign w:val="center"/>
          </w:tcPr>
          <w:p w14:paraId="69DD4760" w14:textId="77777777" w:rsidR="00906513" w:rsidRDefault="000D07EC" w:rsidP="00802D4D">
            <w:pPr>
              <w:spacing w:after="0"/>
              <w:jc w:val="center"/>
              <w:rPr>
                <w:bCs/>
                <w:sz w:val="24"/>
                <w:szCs w:val="24"/>
              </w:rPr>
            </w:pPr>
            <w:r>
              <w:rPr>
                <w:rFonts w:hint="eastAsia"/>
                <w:bCs/>
                <w:sz w:val="24"/>
                <w:szCs w:val="24"/>
              </w:rPr>
              <w:t>112.79/112.79</w:t>
            </w:r>
          </w:p>
        </w:tc>
        <w:tc>
          <w:tcPr>
            <w:tcW w:w="1719" w:type="dxa"/>
            <w:tcBorders>
              <w:bottom w:val="single" w:sz="4" w:space="0" w:color="auto"/>
            </w:tcBorders>
            <w:vAlign w:val="center"/>
          </w:tcPr>
          <w:p w14:paraId="690816C6" w14:textId="77777777" w:rsidR="00906513" w:rsidRDefault="000D07EC" w:rsidP="00802D4D">
            <w:pPr>
              <w:spacing w:after="0"/>
              <w:jc w:val="center"/>
              <w:rPr>
                <w:bCs/>
                <w:sz w:val="24"/>
                <w:szCs w:val="24"/>
              </w:rPr>
            </w:pPr>
            <w:r>
              <w:rPr>
                <w:rFonts w:hint="eastAsia"/>
                <w:bCs/>
                <w:sz w:val="24"/>
                <w:szCs w:val="24"/>
              </w:rPr>
              <w:t>200</w:t>
            </w:r>
          </w:p>
        </w:tc>
        <w:tc>
          <w:tcPr>
            <w:tcW w:w="1771" w:type="dxa"/>
            <w:tcBorders>
              <w:bottom w:val="single" w:sz="4" w:space="0" w:color="auto"/>
            </w:tcBorders>
            <w:vAlign w:val="center"/>
          </w:tcPr>
          <w:p w14:paraId="765E8F28" w14:textId="77777777" w:rsidR="00906513" w:rsidRDefault="000D07EC" w:rsidP="00802D4D">
            <w:pPr>
              <w:spacing w:after="0"/>
              <w:jc w:val="center"/>
              <w:rPr>
                <w:bCs/>
                <w:sz w:val="24"/>
                <w:szCs w:val="24"/>
              </w:rPr>
            </w:pPr>
            <w:r>
              <w:rPr>
                <w:rFonts w:hint="eastAsia"/>
                <w:bCs/>
                <w:sz w:val="24"/>
                <w:szCs w:val="24"/>
              </w:rPr>
              <w:t>30</w:t>
            </w:r>
          </w:p>
        </w:tc>
      </w:tr>
      <w:tr w:rsidR="00DD1F3F" w14:paraId="4BF5F9C4" w14:textId="77777777" w:rsidTr="00736117">
        <w:trPr>
          <w:trHeight w:val="552"/>
          <w:jc w:val="center"/>
        </w:trPr>
        <w:tc>
          <w:tcPr>
            <w:tcW w:w="1883" w:type="dxa"/>
            <w:tcBorders>
              <w:bottom w:val="single" w:sz="12" w:space="0" w:color="auto"/>
            </w:tcBorders>
            <w:vAlign w:val="center"/>
          </w:tcPr>
          <w:p w14:paraId="301C5315" w14:textId="77777777" w:rsidR="00906513" w:rsidRDefault="000D07EC" w:rsidP="00802D4D">
            <w:pPr>
              <w:spacing w:after="0" w:line="240" w:lineRule="auto"/>
              <w:jc w:val="center"/>
              <w:rPr>
                <w:bCs/>
                <w:sz w:val="24"/>
                <w:szCs w:val="24"/>
              </w:rPr>
            </w:pPr>
            <w:r>
              <w:rPr>
                <w:rFonts w:hint="eastAsia"/>
                <w:bCs/>
                <w:sz w:val="24"/>
                <w:szCs w:val="24"/>
              </w:rPr>
              <w:t>Sphere</w:t>
            </w:r>
          </w:p>
        </w:tc>
        <w:tc>
          <w:tcPr>
            <w:tcW w:w="1771" w:type="dxa"/>
            <w:tcBorders>
              <w:bottom w:val="single" w:sz="12" w:space="0" w:color="auto"/>
            </w:tcBorders>
            <w:vAlign w:val="center"/>
          </w:tcPr>
          <w:p w14:paraId="49AC1502" w14:textId="77777777" w:rsidR="00906513" w:rsidRDefault="000D07EC" w:rsidP="00802D4D">
            <w:pPr>
              <w:spacing w:after="0"/>
              <w:jc w:val="center"/>
              <w:rPr>
                <w:bCs/>
                <w:sz w:val="24"/>
                <w:szCs w:val="24"/>
              </w:rPr>
            </w:pPr>
            <w:r>
              <w:rPr>
                <w:rFonts w:hint="eastAsia"/>
                <w:bCs/>
                <w:sz w:val="24"/>
                <w:szCs w:val="24"/>
              </w:rPr>
              <w:t>0</w:t>
            </w:r>
          </w:p>
        </w:tc>
        <w:tc>
          <w:tcPr>
            <w:tcW w:w="2194" w:type="dxa"/>
            <w:tcBorders>
              <w:bottom w:val="single" w:sz="12" w:space="0" w:color="auto"/>
            </w:tcBorders>
            <w:vAlign w:val="center"/>
          </w:tcPr>
          <w:p w14:paraId="69AED965" w14:textId="77777777" w:rsidR="00906513" w:rsidRDefault="000D07EC" w:rsidP="00802D4D">
            <w:pPr>
              <w:spacing w:after="0"/>
              <w:jc w:val="center"/>
              <w:rPr>
                <w:bCs/>
                <w:sz w:val="24"/>
                <w:szCs w:val="24"/>
              </w:rPr>
            </w:pPr>
            <w:r>
              <w:rPr>
                <w:rFonts w:hint="eastAsia"/>
                <w:bCs/>
                <w:sz w:val="24"/>
                <w:szCs w:val="24"/>
              </w:rPr>
              <w:t>67.22</w:t>
            </w:r>
          </w:p>
        </w:tc>
        <w:tc>
          <w:tcPr>
            <w:tcW w:w="1719" w:type="dxa"/>
            <w:tcBorders>
              <w:bottom w:val="single" w:sz="12" w:space="0" w:color="auto"/>
            </w:tcBorders>
            <w:vAlign w:val="center"/>
          </w:tcPr>
          <w:p w14:paraId="73D6F891" w14:textId="77777777" w:rsidR="00906513" w:rsidRDefault="000D07EC" w:rsidP="00802D4D">
            <w:pPr>
              <w:spacing w:after="0"/>
              <w:jc w:val="center"/>
              <w:rPr>
                <w:bCs/>
                <w:sz w:val="24"/>
                <w:szCs w:val="24"/>
              </w:rPr>
            </w:pPr>
            <w:r>
              <w:rPr>
                <w:rFonts w:hint="eastAsia"/>
                <w:bCs/>
                <w:sz w:val="24"/>
                <w:szCs w:val="24"/>
              </w:rPr>
              <w:t>200</w:t>
            </w:r>
          </w:p>
        </w:tc>
        <w:tc>
          <w:tcPr>
            <w:tcW w:w="1771" w:type="dxa"/>
            <w:tcBorders>
              <w:bottom w:val="single" w:sz="12" w:space="0" w:color="auto"/>
            </w:tcBorders>
            <w:vAlign w:val="center"/>
          </w:tcPr>
          <w:p w14:paraId="190ABCB4" w14:textId="77777777" w:rsidR="00906513" w:rsidRDefault="000D07EC" w:rsidP="00802D4D">
            <w:pPr>
              <w:spacing w:after="0"/>
              <w:jc w:val="center"/>
              <w:rPr>
                <w:bCs/>
                <w:sz w:val="24"/>
                <w:szCs w:val="24"/>
              </w:rPr>
            </w:pPr>
            <w:r>
              <w:rPr>
                <w:rFonts w:hint="eastAsia"/>
                <w:bCs/>
                <w:sz w:val="24"/>
                <w:szCs w:val="24"/>
              </w:rPr>
              <w:t>30</w:t>
            </w:r>
          </w:p>
        </w:tc>
      </w:tr>
      <w:tr w:rsidR="00DD1F3F" w14:paraId="458FE65E" w14:textId="77777777" w:rsidTr="00736117">
        <w:trPr>
          <w:trHeight w:val="552"/>
          <w:jc w:val="center"/>
        </w:trPr>
        <w:tc>
          <w:tcPr>
            <w:tcW w:w="9338" w:type="dxa"/>
            <w:gridSpan w:val="5"/>
            <w:tcBorders>
              <w:top w:val="single" w:sz="12" w:space="0" w:color="auto"/>
              <w:bottom w:val="nil"/>
            </w:tcBorders>
            <w:vAlign w:val="center"/>
          </w:tcPr>
          <w:p w14:paraId="367BACC5" w14:textId="77777777" w:rsidR="00906513" w:rsidRPr="00957DDF" w:rsidRDefault="000D07EC" w:rsidP="00802D4D">
            <w:pPr>
              <w:spacing w:after="0" w:line="240" w:lineRule="auto"/>
              <w:jc w:val="left"/>
              <w:rPr>
                <w:bCs/>
              </w:rPr>
            </w:pPr>
            <w:proofErr w:type="spellStart"/>
            <w:r w:rsidRPr="00957DDF">
              <w:rPr>
                <w:rFonts w:hint="eastAsia"/>
                <w:bCs/>
                <w:vertAlign w:val="superscript"/>
              </w:rPr>
              <w:t>a</w:t>
            </w:r>
            <w:r w:rsidRPr="00957DDF">
              <w:rPr>
                <w:rFonts w:hint="eastAsia"/>
                <w:bCs/>
              </w:rPr>
              <w:t>Source</w:t>
            </w:r>
            <w:proofErr w:type="spellEnd"/>
            <w:r w:rsidRPr="00957DDF">
              <w:rPr>
                <w:rFonts w:hint="eastAsia"/>
                <w:bCs/>
              </w:rPr>
              <w:t xml:space="preserve"> material is 7.86 g/cm</w:t>
            </w:r>
            <w:r w:rsidRPr="00957DDF">
              <w:rPr>
                <w:rFonts w:hint="eastAsia"/>
                <w:bCs/>
                <w:vertAlign w:val="superscript"/>
              </w:rPr>
              <w:t>3</w:t>
            </w:r>
            <w:r w:rsidRPr="00957DDF">
              <w:rPr>
                <w:rFonts w:hint="eastAsia"/>
                <w:bCs/>
              </w:rPr>
              <w:t xml:space="preserve"> of iron.</w:t>
            </w:r>
          </w:p>
          <w:p w14:paraId="419FCFDE" w14:textId="77777777" w:rsidR="00906513" w:rsidRPr="00957DDF" w:rsidRDefault="000D07EC" w:rsidP="00802D4D">
            <w:pPr>
              <w:spacing w:after="0" w:line="240" w:lineRule="auto"/>
              <w:jc w:val="left"/>
              <w:rPr>
                <w:bCs/>
              </w:rPr>
            </w:pPr>
            <w:proofErr w:type="spellStart"/>
            <w:r w:rsidRPr="00957DDF">
              <w:rPr>
                <w:rFonts w:hint="eastAsia"/>
                <w:bCs/>
                <w:vertAlign w:val="superscript"/>
              </w:rPr>
              <w:t>b</w:t>
            </w:r>
            <w:r w:rsidRPr="00957DDF">
              <w:rPr>
                <w:rFonts w:hint="eastAsia"/>
                <w:bCs/>
              </w:rPr>
              <w:t>In</w:t>
            </w:r>
            <w:proofErr w:type="spellEnd"/>
            <w:r w:rsidRPr="00957DDF">
              <w:rPr>
                <w:rFonts w:hint="eastAsia"/>
                <w:bCs/>
              </w:rPr>
              <w:t xml:space="preserve"> cylindrical geometries, the radius is used, while in rectangular and planar </w:t>
            </w:r>
            <w:r w:rsidRPr="00957DDF">
              <w:rPr>
                <w:bCs/>
              </w:rPr>
              <w:t>geometries</w:t>
            </w:r>
            <w:r w:rsidRPr="00957DDF">
              <w:rPr>
                <w:rFonts w:hint="eastAsia"/>
                <w:bCs/>
              </w:rPr>
              <w:t>, the dimensions are specified by width and height.</w:t>
            </w:r>
          </w:p>
          <w:p w14:paraId="2AF64A5F" w14:textId="77777777" w:rsidR="00906513" w:rsidRDefault="000D07EC" w:rsidP="00802D4D">
            <w:pPr>
              <w:spacing w:after="0" w:line="240" w:lineRule="auto"/>
              <w:jc w:val="left"/>
              <w:rPr>
                <w:bCs/>
                <w:sz w:val="24"/>
                <w:szCs w:val="24"/>
              </w:rPr>
            </w:pPr>
            <w:proofErr w:type="spellStart"/>
            <w:r w:rsidRPr="00957DDF">
              <w:rPr>
                <w:rFonts w:hint="eastAsia"/>
                <w:bCs/>
                <w:vertAlign w:val="superscript"/>
              </w:rPr>
              <w:t>c</w:t>
            </w:r>
            <w:r w:rsidRPr="00957DDF">
              <w:rPr>
                <w:rFonts w:hint="eastAsia"/>
                <w:bCs/>
              </w:rPr>
              <w:t>Shielding</w:t>
            </w:r>
            <w:proofErr w:type="spellEnd"/>
            <w:r w:rsidRPr="00957DDF">
              <w:rPr>
                <w:rFonts w:hint="eastAsia"/>
                <w:bCs/>
              </w:rPr>
              <w:t xml:space="preserve"> material is 2.8 g/cm</w:t>
            </w:r>
            <w:r w:rsidRPr="00957DDF">
              <w:rPr>
                <w:rFonts w:hint="eastAsia"/>
                <w:bCs/>
                <w:vertAlign w:val="superscript"/>
              </w:rPr>
              <w:t>3</w:t>
            </w:r>
            <w:r w:rsidRPr="00957DDF">
              <w:rPr>
                <w:rFonts w:hint="eastAsia"/>
                <w:bCs/>
              </w:rPr>
              <w:t xml:space="preserve"> of concrete.</w:t>
            </w:r>
          </w:p>
        </w:tc>
      </w:tr>
    </w:tbl>
    <w:p w14:paraId="3B4523DF" w14:textId="77777777" w:rsidR="00A43D6E" w:rsidRDefault="00A43D6E">
      <w:pPr>
        <w:spacing w:after="200" w:line="480" w:lineRule="auto"/>
        <w:jc w:val="left"/>
        <w:rPr>
          <w:b/>
          <w:sz w:val="24"/>
        </w:rPr>
      </w:pPr>
    </w:p>
    <w:p w14:paraId="3B4523E0" w14:textId="77777777" w:rsidR="00A43D6E" w:rsidRDefault="000D07EC">
      <w:pPr>
        <w:widowControl/>
        <w:jc w:val="left"/>
        <w:rPr>
          <w:b/>
          <w:sz w:val="24"/>
        </w:rPr>
      </w:pPr>
      <w:r>
        <w:rPr>
          <w:sz w:val="24"/>
        </w:rPr>
        <w:br w:type="page"/>
      </w:r>
    </w:p>
    <w:p w14:paraId="3B4523E1" w14:textId="7A47BF94" w:rsidR="00A43D6E" w:rsidRDefault="000D07EC">
      <w:pPr>
        <w:pStyle w:val="af2"/>
        <w:jc w:val="left"/>
        <w:rPr>
          <w:sz w:val="24"/>
        </w:rPr>
      </w:pPr>
      <w:bookmarkStart w:id="14" w:name="bm290"/>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5</w:t>
      </w:r>
      <w:r>
        <w:rPr>
          <w:sz w:val="24"/>
        </w:rPr>
        <w:fldChar w:fldCharType="end"/>
      </w:r>
      <w:bookmarkEnd w:id="14"/>
      <w:r>
        <w:rPr>
          <w:sz w:val="24"/>
        </w:rPr>
        <w:t xml:space="preserve"> </w:t>
      </w:r>
      <w:r>
        <w:rPr>
          <w:b w:val="0"/>
          <w:sz w:val="24"/>
        </w:rPr>
        <w:t>Average dose ratios of internal and external exposure pathways calculated from the data of five radionuclides measured in the recycling scenario of melting stainless steel from nuclear fuel assemblies at a Swedish nuclear power plant.</w:t>
      </w:r>
    </w:p>
    <w:tbl>
      <w:tblPr>
        <w:tblStyle w:val="a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562"/>
        <w:gridCol w:w="2835"/>
        <w:gridCol w:w="1984"/>
        <w:gridCol w:w="1984"/>
        <w:gridCol w:w="1985"/>
      </w:tblGrid>
      <w:tr w:rsidR="00DD1F3F" w14:paraId="572B9F52" w14:textId="77777777" w:rsidTr="00736117">
        <w:trPr>
          <w:jc w:val="center"/>
        </w:trPr>
        <w:tc>
          <w:tcPr>
            <w:tcW w:w="562" w:type="dxa"/>
            <w:vMerge w:val="restart"/>
            <w:tcBorders>
              <w:top w:val="single" w:sz="12" w:space="0" w:color="auto"/>
              <w:bottom w:val="single" w:sz="4" w:space="0" w:color="auto"/>
            </w:tcBorders>
            <w:vAlign w:val="center"/>
          </w:tcPr>
          <w:p w14:paraId="78D5AE6F"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w:t>
            </w:r>
          </w:p>
        </w:tc>
        <w:tc>
          <w:tcPr>
            <w:tcW w:w="2835" w:type="dxa"/>
            <w:vMerge w:val="restart"/>
            <w:tcBorders>
              <w:top w:val="single" w:sz="12" w:space="0" w:color="auto"/>
              <w:bottom w:val="single" w:sz="4" w:space="0" w:color="auto"/>
            </w:tcBorders>
            <w:vAlign w:val="center"/>
          </w:tcPr>
          <w:p w14:paraId="3891D9BA" w14:textId="79CDF062"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 xml:space="preserve">Recycling </w:t>
            </w:r>
            <w:r w:rsidR="00A62A97" w:rsidRPr="005B1928">
              <w:rPr>
                <w:b/>
                <w:color w:val="000000" w:themeColor="text1"/>
                <w:sz w:val="24"/>
                <w:szCs w:val="24"/>
              </w:rPr>
              <w:t>scenario</w:t>
            </w:r>
          </w:p>
        </w:tc>
        <w:tc>
          <w:tcPr>
            <w:tcW w:w="3968" w:type="dxa"/>
            <w:gridSpan w:val="2"/>
            <w:tcBorders>
              <w:top w:val="single" w:sz="12" w:space="0" w:color="auto"/>
              <w:bottom w:val="single" w:sz="4" w:space="0" w:color="auto"/>
            </w:tcBorders>
            <w:vAlign w:val="center"/>
          </w:tcPr>
          <w:p w14:paraId="4E5A82B8" w14:textId="65CF999A"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 xml:space="preserve">Average </w:t>
            </w:r>
            <w:r w:rsidR="00A62A97" w:rsidRPr="005B1928">
              <w:rPr>
                <w:b/>
                <w:color w:val="000000" w:themeColor="text1"/>
                <w:sz w:val="24"/>
                <w:szCs w:val="24"/>
              </w:rPr>
              <w:t>ratio</w:t>
            </w:r>
          </w:p>
          <w:p w14:paraId="0155B7FF" w14:textId="27688A0C"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for external dose</w:t>
            </w:r>
          </w:p>
        </w:tc>
        <w:tc>
          <w:tcPr>
            <w:tcW w:w="1985" w:type="dxa"/>
            <w:tcBorders>
              <w:top w:val="single" w:sz="12" w:space="0" w:color="auto"/>
              <w:bottom w:val="single" w:sz="4" w:space="0" w:color="auto"/>
            </w:tcBorders>
            <w:vAlign w:val="center"/>
          </w:tcPr>
          <w:p w14:paraId="50805B5F" w14:textId="36B341B5"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 xml:space="preserve">Average </w:t>
            </w:r>
            <w:r w:rsidR="00A62A97" w:rsidRPr="005B1928">
              <w:rPr>
                <w:b/>
                <w:color w:val="000000" w:themeColor="text1"/>
                <w:sz w:val="24"/>
                <w:szCs w:val="24"/>
              </w:rPr>
              <w:t>ratio</w:t>
            </w:r>
          </w:p>
          <w:p w14:paraId="673E2C05" w14:textId="2E1B30C2"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for internal dose</w:t>
            </w:r>
          </w:p>
        </w:tc>
      </w:tr>
      <w:tr w:rsidR="00DD1F3F" w14:paraId="05D60568" w14:textId="77777777" w:rsidTr="00736117">
        <w:trPr>
          <w:jc w:val="center"/>
        </w:trPr>
        <w:tc>
          <w:tcPr>
            <w:tcW w:w="562" w:type="dxa"/>
            <w:vMerge/>
            <w:tcBorders>
              <w:top w:val="single" w:sz="4" w:space="0" w:color="auto"/>
              <w:bottom w:val="double" w:sz="4" w:space="0" w:color="auto"/>
            </w:tcBorders>
            <w:vAlign w:val="center"/>
          </w:tcPr>
          <w:p w14:paraId="3F8BEF05" w14:textId="77777777" w:rsidR="00817F1C" w:rsidRPr="005B1928" w:rsidRDefault="00817F1C" w:rsidP="00817F1C">
            <w:pPr>
              <w:spacing w:after="0" w:line="240" w:lineRule="auto"/>
              <w:jc w:val="center"/>
              <w:rPr>
                <w:b/>
                <w:color w:val="000000" w:themeColor="text1"/>
                <w:sz w:val="24"/>
                <w:szCs w:val="24"/>
              </w:rPr>
            </w:pPr>
          </w:p>
        </w:tc>
        <w:tc>
          <w:tcPr>
            <w:tcW w:w="2835" w:type="dxa"/>
            <w:vMerge/>
            <w:tcBorders>
              <w:top w:val="single" w:sz="4" w:space="0" w:color="auto"/>
              <w:bottom w:val="double" w:sz="4" w:space="0" w:color="auto"/>
            </w:tcBorders>
            <w:vAlign w:val="center"/>
          </w:tcPr>
          <w:p w14:paraId="765D71AC" w14:textId="77777777" w:rsidR="00817F1C" w:rsidRPr="005B1928" w:rsidRDefault="00817F1C" w:rsidP="00817F1C">
            <w:pPr>
              <w:spacing w:after="0" w:line="240" w:lineRule="auto"/>
              <w:jc w:val="center"/>
              <w:rPr>
                <w:b/>
                <w:color w:val="000000" w:themeColor="text1"/>
                <w:sz w:val="24"/>
                <w:szCs w:val="24"/>
              </w:rPr>
            </w:pPr>
          </w:p>
        </w:tc>
        <w:tc>
          <w:tcPr>
            <w:tcW w:w="1984" w:type="dxa"/>
            <w:tcBorders>
              <w:top w:val="single" w:sz="4" w:space="0" w:color="auto"/>
              <w:bottom w:val="double" w:sz="4" w:space="0" w:color="auto"/>
            </w:tcBorders>
            <w:vAlign w:val="center"/>
          </w:tcPr>
          <w:p w14:paraId="79DED209"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RUCAS/</w:t>
            </w:r>
          </w:p>
          <w:p w14:paraId="742C9B87"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RESRAD</w:t>
            </w:r>
          </w:p>
        </w:tc>
        <w:tc>
          <w:tcPr>
            <w:tcW w:w="1984" w:type="dxa"/>
            <w:tcBorders>
              <w:top w:val="single" w:sz="4" w:space="0" w:color="auto"/>
              <w:bottom w:val="double" w:sz="4" w:space="0" w:color="auto"/>
            </w:tcBorders>
            <w:vAlign w:val="center"/>
          </w:tcPr>
          <w:p w14:paraId="6E577869"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RUCAS/</w:t>
            </w:r>
          </w:p>
          <w:p w14:paraId="2CB3436A" w14:textId="77777777" w:rsidR="00817F1C" w:rsidRPr="005B1928" w:rsidRDefault="000D07EC" w:rsidP="00817F1C">
            <w:pPr>
              <w:spacing w:after="0" w:line="240" w:lineRule="auto"/>
              <w:jc w:val="center"/>
              <w:rPr>
                <w:b/>
                <w:color w:val="000000" w:themeColor="text1"/>
                <w:sz w:val="24"/>
                <w:szCs w:val="24"/>
              </w:rPr>
            </w:pPr>
            <w:proofErr w:type="spellStart"/>
            <w:r w:rsidRPr="005B1928">
              <w:rPr>
                <w:b/>
                <w:color w:val="000000" w:themeColor="text1"/>
                <w:sz w:val="24"/>
                <w:szCs w:val="24"/>
              </w:rPr>
              <w:t>MicroShield</w:t>
            </w:r>
            <w:proofErr w:type="spellEnd"/>
            <w:r w:rsidRPr="005B1928">
              <w:rPr>
                <w:b/>
                <w:color w:val="000000" w:themeColor="text1"/>
                <w:sz w:val="24"/>
                <w:szCs w:val="24"/>
                <w:vertAlign w:val="superscript"/>
              </w:rPr>
              <w:t>®</w:t>
            </w:r>
          </w:p>
        </w:tc>
        <w:tc>
          <w:tcPr>
            <w:tcW w:w="1985" w:type="dxa"/>
            <w:tcBorders>
              <w:top w:val="single" w:sz="4" w:space="0" w:color="auto"/>
              <w:bottom w:val="double" w:sz="4" w:space="0" w:color="auto"/>
            </w:tcBorders>
            <w:vAlign w:val="center"/>
          </w:tcPr>
          <w:p w14:paraId="742E094E"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RUCAS/</w:t>
            </w:r>
          </w:p>
          <w:p w14:paraId="2527E056" w14:textId="77777777" w:rsidR="00817F1C" w:rsidRPr="005B1928" w:rsidRDefault="000D07EC" w:rsidP="00817F1C">
            <w:pPr>
              <w:spacing w:after="0" w:line="240" w:lineRule="auto"/>
              <w:jc w:val="center"/>
              <w:rPr>
                <w:b/>
                <w:color w:val="000000" w:themeColor="text1"/>
                <w:sz w:val="24"/>
                <w:szCs w:val="24"/>
              </w:rPr>
            </w:pPr>
            <w:r w:rsidRPr="005B1928">
              <w:rPr>
                <w:b/>
                <w:color w:val="000000" w:themeColor="text1"/>
                <w:sz w:val="24"/>
                <w:szCs w:val="24"/>
              </w:rPr>
              <w:t>RESRAD</w:t>
            </w:r>
          </w:p>
        </w:tc>
      </w:tr>
      <w:tr w:rsidR="00DD1F3F" w14:paraId="113B7896" w14:textId="77777777" w:rsidTr="00736117">
        <w:trPr>
          <w:trHeight w:val="552"/>
          <w:jc w:val="center"/>
        </w:trPr>
        <w:tc>
          <w:tcPr>
            <w:tcW w:w="562" w:type="dxa"/>
            <w:tcBorders>
              <w:top w:val="double" w:sz="4" w:space="0" w:color="auto"/>
            </w:tcBorders>
            <w:vAlign w:val="center"/>
          </w:tcPr>
          <w:p w14:paraId="7E9A292A"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w:t>
            </w:r>
          </w:p>
        </w:tc>
        <w:tc>
          <w:tcPr>
            <w:tcW w:w="2835" w:type="dxa"/>
            <w:tcBorders>
              <w:top w:val="double" w:sz="4" w:space="0" w:color="auto"/>
            </w:tcBorders>
            <w:vAlign w:val="center"/>
          </w:tcPr>
          <w:p w14:paraId="7B2A2DE9" w14:textId="2184D3CB"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Scrap </w:t>
            </w:r>
            <w:r w:rsidR="00A62A97" w:rsidRPr="00721786">
              <w:rPr>
                <w:bCs/>
                <w:color w:val="000000" w:themeColor="text1"/>
                <w:sz w:val="24"/>
                <w:szCs w:val="24"/>
              </w:rPr>
              <w:t>truck driver</w:t>
            </w:r>
          </w:p>
        </w:tc>
        <w:tc>
          <w:tcPr>
            <w:tcW w:w="1984" w:type="dxa"/>
            <w:tcBorders>
              <w:top w:val="double" w:sz="4" w:space="0" w:color="auto"/>
            </w:tcBorders>
            <w:vAlign w:val="center"/>
          </w:tcPr>
          <w:p w14:paraId="1C303503"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1.03</w:t>
            </w:r>
          </w:p>
        </w:tc>
        <w:tc>
          <w:tcPr>
            <w:tcW w:w="1984" w:type="dxa"/>
            <w:tcBorders>
              <w:top w:val="double" w:sz="4" w:space="0" w:color="auto"/>
            </w:tcBorders>
            <w:vAlign w:val="center"/>
          </w:tcPr>
          <w:p w14:paraId="006E8731"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1.01</w:t>
            </w:r>
          </w:p>
        </w:tc>
        <w:tc>
          <w:tcPr>
            <w:tcW w:w="1985" w:type="dxa"/>
            <w:tcBorders>
              <w:top w:val="double" w:sz="4" w:space="0" w:color="auto"/>
            </w:tcBorders>
            <w:vAlign w:val="center"/>
          </w:tcPr>
          <w:p w14:paraId="2B4500C6"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7DB92B66" w14:textId="77777777" w:rsidTr="00736117">
        <w:trPr>
          <w:trHeight w:val="552"/>
          <w:jc w:val="center"/>
        </w:trPr>
        <w:tc>
          <w:tcPr>
            <w:tcW w:w="562" w:type="dxa"/>
            <w:vAlign w:val="center"/>
          </w:tcPr>
          <w:p w14:paraId="318DCA81"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2</w:t>
            </w:r>
          </w:p>
        </w:tc>
        <w:tc>
          <w:tcPr>
            <w:tcW w:w="2835" w:type="dxa"/>
            <w:vAlign w:val="center"/>
          </w:tcPr>
          <w:p w14:paraId="279E74F1" w14:textId="5C92CB1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Scrap </w:t>
            </w:r>
            <w:r w:rsidR="00A62A97" w:rsidRPr="00721786">
              <w:rPr>
                <w:bCs/>
                <w:color w:val="000000" w:themeColor="text1"/>
                <w:sz w:val="24"/>
                <w:szCs w:val="24"/>
              </w:rPr>
              <w:t>loader</w:t>
            </w:r>
          </w:p>
        </w:tc>
        <w:tc>
          <w:tcPr>
            <w:tcW w:w="1984" w:type="dxa"/>
            <w:vAlign w:val="center"/>
          </w:tcPr>
          <w:p w14:paraId="04F91AFB"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1.06</w:t>
            </w:r>
          </w:p>
        </w:tc>
        <w:tc>
          <w:tcPr>
            <w:tcW w:w="1984" w:type="dxa"/>
            <w:vAlign w:val="center"/>
          </w:tcPr>
          <w:p w14:paraId="638CCDB6"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c>
          <w:tcPr>
            <w:tcW w:w="1985" w:type="dxa"/>
            <w:vAlign w:val="center"/>
          </w:tcPr>
          <w:p w14:paraId="2BBC9BFE"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442DA72E" w14:textId="77777777" w:rsidTr="00736117">
        <w:trPr>
          <w:trHeight w:val="552"/>
          <w:jc w:val="center"/>
        </w:trPr>
        <w:tc>
          <w:tcPr>
            <w:tcW w:w="562" w:type="dxa"/>
            <w:vAlign w:val="center"/>
          </w:tcPr>
          <w:p w14:paraId="43C2D6E0"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3</w:t>
            </w:r>
          </w:p>
        </w:tc>
        <w:tc>
          <w:tcPr>
            <w:tcW w:w="2835" w:type="dxa"/>
            <w:vAlign w:val="center"/>
          </w:tcPr>
          <w:p w14:paraId="24BA1BBB" w14:textId="40B9612D"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Scrap </w:t>
            </w:r>
            <w:r w:rsidR="00A62A97" w:rsidRPr="00721786">
              <w:rPr>
                <w:bCs/>
                <w:color w:val="000000" w:themeColor="text1"/>
                <w:sz w:val="24"/>
                <w:szCs w:val="24"/>
              </w:rPr>
              <w:t>cutter</w:t>
            </w:r>
          </w:p>
        </w:tc>
        <w:tc>
          <w:tcPr>
            <w:tcW w:w="1984" w:type="dxa"/>
            <w:vAlign w:val="center"/>
          </w:tcPr>
          <w:p w14:paraId="12C68BEF"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1.06</w:t>
            </w:r>
          </w:p>
        </w:tc>
        <w:tc>
          <w:tcPr>
            <w:tcW w:w="1984" w:type="dxa"/>
            <w:vAlign w:val="center"/>
          </w:tcPr>
          <w:p w14:paraId="65F30FBC"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c>
          <w:tcPr>
            <w:tcW w:w="1985" w:type="dxa"/>
            <w:vAlign w:val="center"/>
          </w:tcPr>
          <w:p w14:paraId="38AF9D2D"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5BADB23C" w14:textId="77777777" w:rsidTr="00736117">
        <w:trPr>
          <w:trHeight w:val="552"/>
          <w:jc w:val="center"/>
        </w:trPr>
        <w:tc>
          <w:tcPr>
            <w:tcW w:w="562" w:type="dxa"/>
            <w:vAlign w:val="center"/>
          </w:tcPr>
          <w:p w14:paraId="267375C4"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4</w:t>
            </w:r>
          </w:p>
        </w:tc>
        <w:tc>
          <w:tcPr>
            <w:tcW w:w="2835" w:type="dxa"/>
            <w:vAlign w:val="center"/>
          </w:tcPr>
          <w:p w14:paraId="3679A2D1" w14:textId="6AD11A50"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Ingot </w:t>
            </w:r>
            <w:r w:rsidR="00A62A97" w:rsidRPr="00721786">
              <w:rPr>
                <w:bCs/>
                <w:color w:val="000000" w:themeColor="text1"/>
                <w:sz w:val="24"/>
                <w:szCs w:val="24"/>
              </w:rPr>
              <w:t>caster</w:t>
            </w:r>
          </w:p>
        </w:tc>
        <w:tc>
          <w:tcPr>
            <w:tcW w:w="1984" w:type="dxa"/>
            <w:vAlign w:val="center"/>
          </w:tcPr>
          <w:p w14:paraId="7367F1C2"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3.11</w:t>
            </w:r>
          </w:p>
        </w:tc>
        <w:tc>
          <w:tcPr>
            <w:tcW w:w="1984" w:type="dxa"/>
            <w:vAlign w:val="center"/>
          </w:tcPr>
          <w:p w14:paraId="75B28467"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1.02</w:t>
            </w:r>
          </w:p>
        </w:tc>
        <w:tc>
          <w:tcPr>
            <w:tcW w:w="1985" w:type="dxa"/>
            <w:vAlign w:val="center"/>
          </w:tcPr>
          <w:p w14:paraId="5C8E5708"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61A7AF85" w14:textId="77777777" w:rsidTr="00736117">
        <w:trPr>
          <w:trHeight w:val="552"/>
          <w:jc w:val="center"/>
        </w:trPr>
        <w:tc>
          <w:tcPr>
            <w:tcW w:w="562" w:type="dxa"/>
            <w:vAlign w:val="center"/>
          </w:tcPr>
          <w:p w14:paraId="319B89F4"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5</w:t>
            </w:r>
          </w:p>
        </w:tc>
        <w:tc>
          <w:tcPr>
            <w:tcW w:w="2835" w:type="dxa"/>
            <w:vAlign w:val="center"/>
          </w:tcPr>
          <w:p w14:paraId="37082D88" w14:textId="1EA323CF"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Ingot </w:t>
            </w:r>
            <w:r w:rsidR="00A62A97" w:rsidRPr="00721786">
              <w:rPr>
                <w:bCs/>
                <w:color w:val="000000" w:themeColor="text1"/>
                <w:sz w:val="24"/>
                <w:szCs w:val="24"/>
              </w:rPr>
              <w:t>truck driver</w:t>
            </w:r>
          </w:p>
        </w:tc>
        <w:tc>
          <w:tcPr>
            <w:tcW w:w="1984" w:type="dxa"/>
            <w:vAlign w:val="center"/>
          </w:tcPr>
          <w:p w14:paraId="4FC796B8"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1.07</w:t>
            </w:r>
          </w:p>
        </w:tc>
        <w:tc>
          <w:tcPr>
            <w:tcW w:w="1984" w:type="dxa"/>
            <w:vAlign w:val="center"/>
          </w:tcPr>
          <w:p w14:paraId="36EDE24B"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1.01</w:t>
            </w:r>
          </w:p>
        </w:tc>
        <w:tc>
          <w:tcPr>
            <w:tcW w:w="1985" w:type="dxa"/>
            <w:vAlign w:val="center"/>
          </w:tcPr>
          <w:p w14:paraId="5F0F1BBB"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5A2DCB54" w14:textId="77777777" w:rsidTr="00736117">
        <w:trPr>
          <w:trHeight w:val="552"/>
          <w:jc w:val="center"/>
        </w:trPr>
        <w:tc>
          <w:tcPr>
            <w:tcW w:w="562" w:type="dxa"/>
            <w:vAlign w:val="center"/>
          </w:tcPr>
          <w:p w14:paraId="7905724E"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6</w:t>
            </w:r>
          </w:p>
        </w:tc>
        <w:tc>
          <w:tcPr>
            <w:tcW w:w="2835" w:type="dxa"/>
            <w:vAlign w:val="center"/>
          </w:tcPr>
          <w:p w14:paraId="60FF173D" w14:textId="10F86BB3"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 xml:space="preserve">Slag </w:t>
            </w:r>
            <w:r w:rsidR="00966605" w:rsidRPr="00721786">
              <w:rPr>
                <w:bCs/>
                <w:color w:val="000000" w:themeColor="text1"/>
                <w:sz w:val="24"/>
                <w:szCs w:val="24"/>
              </w:rPr>
              <w:t>worker</w:t>
            </w:r>
          </w:p>
        </w:tc>
        <w:tc>
          <w:tcPr>
            <w:tcW w:w="1984" w:type="dxa"/>
            <w:vAlign w:val="center"/>
          </w:tcPr>
          <w:p w14:paraId="352B7792"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0.98</w:t>
            </w:r>
          </w:p>
        </w:tc>
        <w:tc>
          <w:tcPr>
            <w:tcW w:w="1984" w:type="dxa"/>
            <w:vAlign w:val="center"/>
          </w:tcPr>
          <w:p w14:paraId="5F96F1E8"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1.01</w:t>
            </w:r>
          </w:p>
        </w:tc>
        <w:tc>
          <w:tcPr>
            <w:tcW w:w="1985" w:type="dxa"/>
            <w:vAlign w:val="center"/>
          </w:tcPr>
          <w:p w14:paraId="3CCB3144" w14:textId="77777777" w:rsidR="00817F1C" w:rsidRPr="00721786" w:rsidRDefault="000D07EC" w:rsidP="00817F1C">
            <w:pPr>
              <w:spacing w:after="0" w:line="240" w:lineRule="auto"/>
              <w:jc w:val="center"/>
              <w:rPr>
                <w:bCs/>
                <w:color w:val="000000" w:themeColor="text1"/>
                <w:sz w:val="24"/>
                <w:szCs w:val="24"/>
              </w:rPr>
            </w:pPr>
            <w:r w:rsidRPr="00721786">
              <w:rPr>
                <w:bCs/>
                <w:color w:val="000000" w:themeColor="text1"/>
                <w:sz w:val="24"/>
                <w:szCs w:val="24"/>
              </w:rPr>
              <w:t>1.00</w:t>
            </w:r>
          </w:p>
        </w:tc>
      </w:tr>
    </w:tbl>
    <w:p w14:paraId="3B452415" w14:textId="77777777" w:rsidR="00A43D6E" w:rsidRDefault="00A43D6E">
      <w:pPr>
        <w:spacing w:after="200" w:line="480" w:lineRule="auto"/>
        <w:jc w:val="left"/>
        <w:rPr>
          <w:b/>
          <w:sz w:val="24"/>
        </w:rPr>
      </w:pPr>
    </w:p>
    <w:p w14:paraId="3B452416" w14:textId="77777777" w:rsidR="00A43D6E" w:rsidRDefault="000D07EC">
      <w:pPr>
        <w:widowControl/>
        <w:jc w:val="left"/>
        <w:rPr>
          <w:b/>
          <w:sz w:val="24"/>
        </w:rPr>
      </w:pPr>
      <w:r>
        <w:rPr>
          <w:sz w:val="24"/>
        </w:rPr>
        <w:br w:type="page"/>
      </w:r>
    </w:p>
    <w:p w14:paraId="3B452417" w14:textId="3E268820" w:rsidR="00A43D6E" w:rsidRDefault="000D07EC">
      <w:pPr>
        <w:pStyle w:val="af2"/>
        <w:jc w:val="left"/>
        <w:rPr>
          <w:sz w:val="24"/>
        </w:rPr>
      </w:pPr>
      <w:bookmarkStart w:id="15" w:name="bm301"/>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6</w:t>
      </w:r>
      <w:r>
        <w:rPr>
          <w:sz w:val="24"/>
        </w:rPr>
        <w:fldChar w:fldCharType="end"/>
      </w:r>
      <w:bookmarkEnd w:id="15"/>
      <w:r>
        <w:rPr>
          <w:sz w:val="24"/>
        </w:rPr>
        <w:t xml:space="preserve"> </w:t>
      </w:r>
      <w:r>
        <w:rPr>
          <w:b w:val="0"/>
          <w:sz w:val="24"/>
        </w:rPr>
        <w:t>Average external and internal dose ratios for alpha emitters across recycling scenarios with 30 cm of concrete shielding.</w:t>
      </w:r>
    </w:p>
    <w:tbl>
      <w:tblPr>
        <w:tblStyle w:val="a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577"/>
        <w:gridCol w:w="2403"/>
        <w:gridCol w:w="2404"/>
        <w:gridCol w:w="2404"/>
      </w:tblGrid>
      <w:tr w:rsidR="00DD1F3F" w14:paraId="357F602A" w14:textId="77777777" w:rsidTr="00736117">
        <w:trPr>
          <w:trHeight w:val="552"/>
          <w:jc w:val="center"/>
        </w:trPr>
        <w:tc>
          <w:tcPr>
            <w:tcW w:w="1577" w:type="dxa"/>
            <w:vMerge w:val="restart"/>
            <w:tcBorders>
              <w:top w:val="single" w:sz="12" w:space="0" w:color="auto"/>
              <w:bottom w:val="single" w:sz="4" w:space="0" w:color="auto"/>
            </w:tcBorders>
            <w:vAlign w:val="center"/>
          </w:tcPr>
          <w:p w14:paraId="6BDC9AAF" w14:textId="0A682B8C"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 xml:space="preserve">Alpha </w:t>
            </w:r>
            <w:r w:rsidR="00966605" w:rsidRPr="005B1928">
              <w:rPr>
                <w:b/>
                <w:color w:val="000000" w:themeColor="text1"/>
                <w:sz w:val="24"/>
                <w:szCs w:val="24"/>
              </w:rPr>
              <w:t>emitters</w:t>
            </w:r>
          </w:p>
        </w:tc>
        <w:tc>
          <w:tcPr>
            <w:tcW w:w="4807" w:type="dxa"/>
            <w:gridSpan w:val="2"/>
            <w:tcBorders>
              <w:top w:val="single" w:sz="12" w:space="0" w:color="auto"/>
              <w:bottom w:val="single" w:sz="4" w:space="0" w:color="auto"/>
            </w:tcBorders>
            <w:vAlign w:val="center"/>
          </w:tcPr>
          <w:p w14:paraId="09271873" w14:textId="08FC38CA"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 xml:space="preserve">Average </w:t>
            </w:r>
            <w:r w:rsidR="00966605" w:rsidRPr="005B1928">
              <w:rPr>
                <w:b/>
                <w:color w:val="000000" w:themeColor="text1"/>
                <w:sz w:val="24"/>
                <w:szCs w:val="24"/>
              </w:rPr>
              <w:t>ratio</w:t>
            </w:r>
          </w:p>
          <w:p w14:paraId="3BE1A468" w14:textId="656D0B6E"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for external dose</w:t>
            </w:r>
          </w:p>
        </w:tc>
        <w:tc>
          <w:tcPr>
            <w:tcW w:w="2404" w:type="dxa"/>
            <w:tcBorders>
              <w:top w:val="single" w:sz="12" w:space="0" w:color="auto"/>
              <w:bottom w:val="single" w:sz="4" w:space="0" w:color="auto"/>
            </w:tcBorders>
            <w:vAlign w:val="center"/>
          </w:tcPr>
          <w:p w14:paraId="5A6CFF33" w14:textId="70BAF44B"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 xml:space="preserve">Average </w:t>
            </w:r>
            <w:r w:rsidR="00966605" w:rsidRPr="005B1928">
              <w:rPr>
                <w:b/>
                <w:color w:val="000000" w:themeColor="text1"/>
                <w:sz w:val="24"/>
                <w:szCs w:val="24"/>
              </w:rPr>
              <w:t>ratio</w:t>
            </w:r>
          </w:p>
          <w:p w14:paraId="22872411" w14:textId="1DA63008"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for internal dose</w:t>
            </w:r>
          </w:p>
        </w:tc>
      </w:tr>
      <w:tr w:rsidR="00DD1F3F" w14:paraId="3AFD080F" w14:textId="77777777" w:rsidTr="00736117">
        <w:trPr>
          <w:trHeight w:val="552"/>
          <w:jc w:val="center"/>
        </w:trPr>
        <w:tc>
          <w:tcPr>
            <w:tcW w:w="1577" w:type="dxa"/>
            <w:vMerge/>
            <w:tcBorders>
              <w:top w:val="single" w:sz="4" w:space="0" w:color="auto"/>
              <w:bottom w:val="double" w:sz="4" w:space="0" w:color="auto"/>
            </w:tcBorders>
            <w:vAlign w:val="center"/>
          </w:tcPr>
          <w:p w14:paraId="729909BD" w14:textId="77777777" w:rsidR="00735951" w:rsidRPr="005B1928" w:rsidRDefault="00735951" w:rsidP="00735951">
            <w:pPr>
              <w:spacing w:after="0" w:line="240" w:lineRule="auto"/>
              <w:jc w:val="center"/>
              <w:rPr>
                <w:b/>
                <w:color w:val="000000" w:themeColor="text1"/>
                <w:sz w:val="24"/>
                <w:szCs w:val="24"/>
              </w:rPr>
            </w:pPr>
          </w:p>
        </w:tc>
        <w:tc>
          <w:tcPr>
            <w:tcW w:w="2403" w:type="dxa"/>
            <w:tcBorders>
              <w:top w:val="single" w:sz="4" w:space="0" w:color="auto"/>
              <w:bottom w:val="double" w:sz="4" w:space="0" w:color="auto"/>
            </w:tcBorders>
            <w:vAlign w:val="center"/>
          </w:tcPr>
          <w:p w14:paraId="741799BC" w14:textId="77777777"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RUCAS/</w:t>
            </w:r>
          </w:p>
          <w:p w14:paraId="4871A7B9" w14:textId="77777777"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RESRAD</w:t>
            </w:r>
          </w:p>
        </w:tc>
        <w:tc>
          <w:tcPr>
            <w:tcW w:w="2404" w:type="dxa"/>
            <w:tcBorders>
              <w:top w:val="single" w:sz="4" w:space="0" w:color="auto"/>
              <w:bottom w:val="double" w:sz="4" w:space="0" w:color="auto"/>
            </w:tcBorders>
            <w:vAlign w:val="center"/>
          </w:tcPr>
          <w:p w14:paraId="4B3C49BC" w14:textId="77777777"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RUCAS/</w:t>
            </w:r>
          </w:p>
          <w:p w14:paraId="62E58FDB" w14:textId="77777777" w:rsidR="00735951" w:rsidRPr="005B1928" w:rsidRDefault="000D07EC" w:rsidP="00735951">
            <w:pPr>
              <w:spacing w:after="0" w:line="240" w:lineRule="auto"/>
              <w:jc w:val="center"/>
              <w:rPr>
                <w:b/>
                <w:color w:val="000000" w:themeColor="text1"/>
                <w:sz w:val="24"/>
                <w:szCs w:val="24"/>
              </w:rPr>
            </w:pPr>
            <w:proofErr w:type="spellStart"/>
            <w:r w:rsidRPr="005B1928">
              <w:rPr>
                <w:b/>
                <w:color w:val="000000" w:themeColor="text1"/>
                <w:sz w:val="24"/>
                <w:szCs w:val="24"/>
              </w:rPr>
              <w:t>MicroShield</w:t>
            </w:r>
            <w:proofErr w:type="spellEnd"/>
            <w:r w:rsidRPr="005B1928">
              <w:rPr>
                <w:b/>
                <w:color w:val="000000" w:themeColor="text1"/>
                <w:sz w:val="24"/>
                <w:szCs w:val="24"/>
                <w:vertAlign w:val="superscript"/>
              </w:rPr>
              <w:t>®</w:t>
            </w:r>
          </w:p>
        </w:tc>
        <w:tc>
          <w:tcPr>
            <w:tcW w:w="2404" w:type="dxa"/>
            <w:tcBorders>
              <w:top w:val="single" w:sz="4" w:space="0" w:color="auto"/>
              <w:bottom w:val="double" w:sz="4" w:space="0" w:color="auto"/>
            </w:tcBorders>
            <w:vAlign w:val="center"/>
          </w:tcPr>
          <w:p w14:paraId="1BCCA73E" w14:textId="77777777"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RUCAS/</w:t>
            </w:r>
          </w:p>
          <w:p w14:paraId="1538B178" w14:textId="77777777" w:rsidR="00735951" w:rsidRPr="005B1928" w:rsidRDefault="000D07EC" w:rsidP="00735951">
            <w:pPr>
              <w:spacing w:after="0" w:line="240" w:lineRule="auto"/>
              <w:jc w:val="center"/>
              <w:rPr>
                <w:b/>
                <w:color w:val="000000" w:themeColor="text1"/>
                <w:sz w:val="24"/>
                <w:szCs w:val="24"/>
              </w:rPr>
            </w:pPr>
            <w:r w:rsidRPr="005B1928">
              <w:rPr>
                <w:b/>
                <w:color w:val="000000" w:themeColor="text1"/>
                <w:sz w:val="24"/>
                <w:szCs w:val="24"/>
              </w:rPr>
              <w:t>RESRAD</w:t>
            </w:r>
          </w:p>
        </w:tc>
      </w:tr>
      <w:tr w:rsidR="00DD1F3F" w14:paraId="68D45AB2" w14:textId="77777777" w:rsidTr="00736117">
        <w:trPr>
          <w:trHeight w:val="552"/>
          <w:jc w:val="center"/>
        </w:trPr>
        <w:tc>
          <w:tcPr>
            <w:tcW w:w="1577" w:type="dxa"/>
            <w:tcBorders>
              <w:top w:val="double" w:sz="4" w:space="0" w:color="auto"/>
            </w:tcBorders>
            <w:vAlign w:val="center"/>
          </w:tcPr>
          <w:p w14:paraId="182AFB86" w14:textId="77777777" w:rsidR="00735951" w:rsidRPr="005B0D5F" w:rsidRDefault="000D07EC" w:rsidP="00735951">
            <w:pPr>
              <w:spacing w:after="0" w:line="240" w:lineRule="auto"/>
              <w:jc w:val="center"/>
              <w:rPr>
                <w:bCs/>
                <w:color w:val="000000" w:themeColor="text1"/>
                <w:sz w:val="24"/>
                <w:szCs w:val="24"/>
              </w:rPr>
            </w:pPr>
            <w:r>
              <w:rPr>
                <w:rFonts w:hint="eastAsia"/>
                <w:bCs/>
                <w:color w:val="000000" w:themeColor="text1"/>
                <w:sz w:val="24"/>
                <w:szCs w:val="24"/>
              </w:rPr>
              <w:t>Ac-227</w:t>
            </w:r>
          </w:p>
        </w:tc>
        <w:tc>
          <w:tcPr>
            <w:tcW w:w="2403" w:type="dxa"/>
            <w:tcBorders>
              <w:top w:val="double" w:sz="4" w:space="0" w:color="auto"/>
            </w:tcBorders>
            <w:vAlign w:val="center"/>
          </w:tcPr>
          <w:p w14:paraId="43FFEF83"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2.88E+01</w:t>
            </w:r>
          </w:p>
        </w:tc>
        <w:tc>
          <w:tcPr>
            <w:tcW w:w="2404" w:type="dxa"/>
            <w:tcBorders>
              <w:top w:val="double" w:sz="4" w:space="0" w:color="auto"/>
            </w:tcBorders>
            <w:vAlign w:val="center"/>
          </w:tcPr>
          <w:p w14:paraId="4C945865"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1.14</w:t>
            </w:r>
          </w:p>
        </w:tc>
        <w:tc>
          <w:tcPr>
            <w:tcW w:w="2404" w:type="dxa"/>
            <w:tcBorders>
              <w:top w:val="double" w:sz="4" w:space="0" w:color="auto"/>
            </w:tcBorders>
            <w:vAlign w:val="center"/>
          </w:tcPr>
          <w:p w14:paraId="720FF26E" w14:textId="77777777" w:rsidR="00735951" w:rsidRPr="00721786" w:rsidRDefault="000D07EC" w:rsidP="00735951">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47B513F1" w14:textId="77777777" w:rsidTr="00736117">
        <w:trPr>
          <w:trHeight w:val="552"/>
          <w:jc w:val="center"/>
        </w:trPr>
        <w:tc>
          <w:tcPr>
            <w:tcW w:w="1577" w:type="dxa"/>
            <w:vAlign w:val="center"/>
          </w:tcPr>
          <w:p w14:paraId="35A85EDE" w14:textId="77777777" w:rsidR="00735951" w:rsidRPr="005B0D5F" w:rsidRDefault="000D07EC" w:rsidP="00735951">
            <w:pPr>
              <w:spacing w:after="0" w:line="240" w:lineRule="auto"/>
              <w:jc w:val="center"/>
              <w:rPr>
                <w:bCs/>
                <w:color w:val="000000" w:themeColor="text1"/>
                <w:sz w:val="24"/>
                <w:szCs w:val="24"/>
              </w:rPr>
            </w:pPr>
            <w:r>
              <w:rPr>
                <w:rFonts w:hint="eastAsia"/>
                <w:bCs/>
                <w:color w:val="000000" w:themeColor="text1"/>
                <w:sz w:val="24"/>
                <w:szCs w:val="24"/>
              </w:rPr>
              <w:t>Am-241</w:t>
            </w:r>
          </w:p>
        </w:tc>
        <w:tc>
          <w:tcPr>
            <w:tcW w:w="2403" w:type="dxa"/>
            <w:vAlign w:val="center"/>
          </w:tcPr>
          <w:p w14:paraId="174C3C53"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1.56E+08</w:t>
            </w:r>
          </w:p>
        </w:tc>
        <w:tc>
          <w:tcPr>
            <w:tcW w:w="2404" w:type="dxa"/>
            <w:vAlign w:val="center"/>
          </w:tcPr>
          <w:p w14:paraId="62B2EF2D"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1.12</w:t>
            </w:r>
          </w:p>
        </w:tc>
        <w:tc>
          <w:tcPr>
            <w:tcW w:w="2404" w:type="dxa"/>
            <w:vAlign w:val="center"/>
          </w:tcPr>
          <w:p w14:paraId="058E85F1" w14:textId="77777777" w:rsidR="00735951" w:rsidRPr="00721786" w:rsidRDefault="000D07EC" w:rsidP="00735951">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01B27714" w14:textId="77777777" w:rsidTr="00736117">
        <w:trPr>
          <w:trHeight w:val="552"/>
          <w:jc w:val="center"/>
        </w:trPr>
        <w:tc>
          <w:tcPr>
            <w:tcW w:w="1577" w:type="dxa"/>
            <w:vAlign w:val="center"/>
          </w:tcPr>
          <w:p w14:paraId="08CAD088" w14:textId="77777777" w:rsidR="00735951" w:rsidRPr="005B0D5F" w:rsidRDefault="000D07EC" w:rsidP="00735951">
            <w:pPr>
              <w:spacing w:after="0" w:line="240" w:lineRule="auto"/>
              <w:jc w:val="center"/>
              <w:rPr>
                <w:bCs/>
                <w:color w:val="000000" w:themeColor="text1"/>
                <w:sz w:val="24"/>
                <w:szCs w:val="24"/>
              </w:rPr>
            </w:pPr>
            <w:r>
              <w:rPr>
                <w:rFonts w:hint="eastAsia"/>
                <w:bCs/>
                <w:color w:val="000000" w:themeColor="text1"/>
                <w:sz w:val="24"/>
                <w:szCs w:val="24"/>
              </w:rPr>
              <w:t>Pu-239</w:t>
            </w:r>
          </w:p>
        </w:tc>
        <w:tc>
          <w:tcPr>
            <w:tcW w:w="2403" w:type="dxa"/>
            <w:vAlign w:val="center"/>
          </w:tcPr>
          <w:p w14:paraId="67AEABEC"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3.23E+02</w:t>
            </w:r>
          </w:p>
        </w:tc>
        <w:tc>
          <w:tcPr>
            <w:tcW w:w="2404" w:type="dxa"/>
            <w:vAlign w:val="center"/>
          </w:tcPr>
          <w:p w14:paraId="3306779E"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1.16</w:t>
            </w:r>
          </w:p>
        </w:tc>
        <w:tc>
          <w:tcPr>
            <w:tcW w:w="2404" w:type="dxa"/>
            <w:vAlign w:val="center"/>
          </w:tcPr>
          <w:p w14:paraId="1A27BE0B" w14:textId="77777777" w:rsidR="00735951" w:rsidRPr="00721786" w:rsidRDefault="000D07EC" w:rsidP="00735951">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5F1E83FC" w14:textId="77777777" w:rsidTr="00736117">
        <w:trPr>
          <w:trHeight w:val="552"/>
          <w:jc w:val="center"/>
        </w:trPr>
        <w:tc>
          <w:tcPr>
            <w:tcW w:w="1577" w:type="dxa"/>
            <w:tcBorders>
              <w:bottom w:val="single" w:sz="12" w:space="0" w:color="auto"/>
            </w:tcBorders>
            <w:vAlign w:val="center"/>
          </w:tcPr>
          <w:p w14:paraId="368EEDE4" w14:textId="77777777" w:rsidR="00735951" w:rsidRPr="005B0D5F" w:rsidRDefault="000D07EC" w:rsidP="00735951">
            <w:pPr>
              <w:spacing w:after="0" w:line="240" w:lineRule="auto"/>
              <w:jc w:val="center"/>
              <w:rPr>
                <w:bCs/>
                <w:color w:val="000000" w:themeColor="text1"/>
                <w:sz w:val="24"/>
                <w:szCs w:val="24"/>
              </w:rPr>
            </w:pPr>
            <w:r>
              <w:rPr>
                <w:rFonts w:hint="eastAsia"/>
                <w:bCs/>
                <w:color w:val="000000" w:themeColor="text1"/>
                <w:sz w:val="24"/>
                <w:szCs w:val="24"/>
              </w:rPr>
              <w:t>U-238</w:t>
            </w:r>
          </w:p>
        </w:tc>
        <w:tc>
          <w:tcPr>
            <w:tcW w:w="2403" w:type="dxa"/>
            <w:tcBorders>
              <w:bottom w:val="single" w:sz="12" w:space="0" w:color="auto"/>
            </w:tcBorders>
            <w:vAlign w:val="center"/>
          </w:tcPr>
          <w:p w14:paraId="24492371"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1.10E+02</w:t>
            </w:r>
          </w:p>
        </w:tc>
        <w:tc>
          <w:tcPr>
            <w:tcW w:w="2404" w:type="dxa"/>
            <w:tcBorders>
              <w:bottom w:val="single" w:sz="12" w:space="0" w:color="auto"/>
            </w:tcBorders>
            <w:vAlign w:val="center"/>
          </w:tcPr>
          <w:p w14:paraId="24E167D7" w14:textId="77777777" w:rsidR="00735951" w:rsidRPr="00721786" w:rsidRDefault="000D07EC" w:rsidP="00735951">
            <w:pPr>
              <w:spacing w:after="0" w:line="240" w:lineRule="auto"/>
              <w:jc w:val="center"/>
              <w:rPr>
                <w:bCs/>
                <w:color w:val="000000" w:themeColor="text1"/>
                <w:sz w:val="24"/>
                <w:szCs w:val="24"/>
              </w:rPr>
            </w:pPr>
            <w:r w:rsidRPr="00721786">
              <w:rPr>
                <w:rFonts w:hint="eastAsia"/>
                <w:bCs/>
                <w:color w:val="000000" w:themeColor="text1"/>
                <w:sz w:val="24"/>
                <w:szCs w:val="24"/>
              </w:rPr>
              <w:t>1.07</w:t>
            </w:r>
          </w:p>
        </w:tc>
        <w:tc>
          <w:tcPr>
            <w:tcW w:w="2404" w:type="dxa"/>
            <w:tcBorders>
              <w:bottom w:val="single" w:sz="12" w:space="0" w:color="auto"/>
            </w:tcBorders>
            <w:vAlign w:val="center"/>
          </w:tcPr>
          <w:p w14:paraId="76596903" w14:textId="77777777" w:rsidR="00735951" w:rsidRPr="00721786" w:rsidRDefault="000D07EC" w:rsidP="00735951">
            <w:pPr>
              <w:spacing w:after="0" w:line="240" w:lineRule="auto"/>
              <w:jc w:val="center"/>
              <w:rPr>
                <w:bCs/>
                <w:color w:val="000000" w:themeColor="text1"/>
                <w:sz w:val="24"/>
                <w:szCs w:val="24"/>
              </w:rPr>
            </w:pPr>
            <w:r w:rsidRPr="00721786">
              <w:rPr>
                <w:bCs/>
                <w:color w:val="000000" w:themeColor="text1"/>
                <w:sz w:val="24"/>
                <w:szCs w:val="24"/>
              </w:rPr>
              <w:t>1.00</w:t>
            </w:r>
          </w:p>
        </w:tc>
      </w:tr>
    </w:tbl>
    <w:p w14:paraId="3B452439" w14:textId="77777777" w:rsidR="00A43D6E" w:rsidRDefault="00A43D6E">
      <w:pPr>
        <w:spacing w:after="200" w:line="480" w:lineRule="auto"/>
        <w:jc w:val="left"/>
        <w:rPr>
          <w:b/>
          <w:sz w:val="24"/>
        </w:rPr>
      </w:pPr>
    </w:p>
    <w:p w14:paraId="3B45243A" w14:textId="77777777" w:rsidR="00A43D6E" w:rsidRDefault="000D07EC">
      <w:pPr>
        <w:widowControl/>
        <w:jc w:val="left"/>
        <w:rPr>
          <w:b/>
          <w:sz w:val="24"/>
        </w:rPr>
      </w:pPr>
      <w:r>
        <w:rPr>
          <w:sz w:val="24"/>
        </w:rPr>
        <w:br w:type="page"/>
      </w:r>
    </w:p>
    <w:p w14:paraId="3B45243B" w14:textId="658848AC" w:rsidR="00A43D6E" w:rsidRDefault="000D07EC">
      <w:pPr>
        <w:pStyle w:val="af2"/>
        <w:jc w:val="left"/>
        <w:rPr>
          <w:sz w:val="24"/>
        </w:rPr>
      </w:pPr>
      <w:bookmarkStart w:id="16" w:name="bm309"/>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7</w:t>
      </w:r>
      <w:r>
        <w:rPr>
          <w:sz w:val="24"/>
        </w:rPr>
        <w:fldChar w:fldCharType="end"/>
      </w:r>
      <w:bookmarkEnd w:id="16"/>
      <w:r>
        <w:rPr>
          <w:sz w:val="24"/>
        </w:rPr>
        <w:t xml:space="preserve"> </w:t>
      </w:r>
      <w:r>
        <w:rPr>
          <w:b w:val="0"/>
          <w:sz w:val="24"/>
        </w:rPr>
        <w:t>Average external and internal dose ratios for gamma emitters across recycling scenarios with 30 cm of concrete shielding.</w:t>
      </w:r>
    </w:p>
    <w:tbl>
      <w:tblPr>
        <w:tblStyle w:val="a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577"/>
        <w:gridCol w:w="2403"/>
        <w:gridCol w:w="2404"/>
        <w:gridCol w:w="2404"/>
      </w:tblGrid>
      <w:tr w:rsidR="00DD1F3F" w14:paraId="6C9CA74F" w14:textId="77777777" w:rsidTr="00736117">
        <w:trPr>
          <w:trHeight w:val="552"/>
          <w:jc w:val="center"/>
        </w:trPr>
        <w:tc>
          <w:tcPr>
            <w:tcW w:w="1577" w:type="dxa"/>
            <w:vMerge w:val="restart"/>
            <w:tcBorders>
              <w:top w:val="single" w:sz="12" w:space="0" w:color="auto"/>
              <w:bottom w:val="single" w:sz="4" w:space="0" w:color="auto"/>
            </w:tcBorders>
            <w:vAlign w:val="center"/>
          </w:tcPr>
          <w:p w14:paraId="707A449F" w14:textId="7BF5093A"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 xml:space="preserve">Gamma </w:t>
            </w:r>
            <w:r w:rsidR="00966605" w:rsidRPr="005B1928">
              <w:rPr>
                <w:b/>
                <w:color w:val="000000" w:themeColor="text1"/>
                <w:sz w:val="24"/>
                <w:szCs w:val="24"/>
              </w:rPr>
              <w:t>emitters</w:t>
            </w:r>
          </w:p>
        </w:tc>
        <w:tc>
          <w:tcPr>
            <w:tcW w:w="4807" w:type="dxa"/>
            <w:gridSpan w:val="2"/>
            <w:tcBorders>
              <w:top w:val="single" w:sz="12" w:space="0" w:color="auto"/>
              <w:bottom w:val="single" w:sz="4" w:space="0" w:color="auto"/>
            </w:tcBorders>
            <w:vAlign w:val="center"/>
          </w:tcPr>
          <w:p w14:paraId="1DA78AF7" w14:textId="61EC8CC9"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 xml:space="preserve">Average </w:t>
            </w:r>
            <w:r w:rsidR="00966605" w:rsidRPr="005B1928">
              <w:rPr>
                <w:b/>
                <w:color w:val="000000" w:themeColor="text1"/>
                <w:sz w:val="24"/>
                <w:szCs w:val="24"/>
              </w:rPr>
              <w:t>ratio</w:t>
            </w:r>
          </w:p>
          <w:p w14:paraId="3F8ADB4E" w14:textId="557064EE"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for external dose</w:t>
            </w:r>
          </w:p>
        </w:tc>
        <w:tc>
          <w:tcPr>
            <w:tcW w:w="2404" w:type="dxa"/>
            <w:tcBorders>
              <w:top w:val="single" w:sz="12" w:space="0" w:color="auto"/>
              <w:bottom w:val="single" w:sz="4" w:space="0" w:color="auto"/>
            </w:tcBorders>
            <w:vAlign w:val="center"/>
          </w:tcPr>
          <w:p w14:paraId="4D0C144E" w14:textId="32FD7C3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 xml:space="preserve">Average </w:t>
            </w:r>
            <w:r w:rsidR="00966605" w:rsidRPr="005B1928">
              <w:rPr>
                <w:b/>
                <w:color w:val="000000" w:themeColor="text1"/>
                <w:sz w:val="24"/>
                <w:szCs w:val="24"/>
              </w:rPr>
              <w:t>ratio</w:t>
            </w:r>
          </w:p>
          <w:p w14:paraId="6373CD6D" w14:textId="42BB5904"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for internal dose</w:t>
            </w:r>
          </w:p>
        </w:tc>
      </w:tr>
      <w:tr w:rsidR="00DD1F3F" w14:paraId="17427C0D" w14:textId="77777777" w:rsidTr="00736117">
        <w:trPr>
          <w:trHeight w:val="552"/>
          <w:jc w:val="center"/>
        </w:trPr>
        <w:tc>
          <w:tcPr>
            <w:tcW w:w="1577" w:type="dxa"/>
            <w:vMerge/>
            <w:tcBorders>
              <w:top w:val="single" w:sz="4" w:space="0" w:color="auto"/>
            </w:tcBorders>
            <w:vAlign w:val="center"/>
          </w:tcPr>
          <w:p w14:paraId="50CB844C" w14:textId="77777777" w:rsidR="001261C7" w:rsidRPr="005B1928" w:rsidRDefault="001261C7" w:rsidP="00DB483C">
            <w:pPr>
              <w:spacing w:after="0" w:line="240" w:lineRule="auto"/>
              <w:jc w:val="center"/>
              <w:rPr>
                <w:b/>
                <w:color w:val="000000" w:themeColor="text1"/>
                <w:sz w:val="24"/>
                <w:szCs w:val="24"/>
              </w:rPr>
            </w:pPr>
          </w:p>
        </w:tc>
        <w:tc>
          <w:tcPr>
            <w:tcW w:w="2403" w:type="dxa"/>
            <w:tcBorders>
              <w:top w:val="single" w:sz="4" w:space="0" w:color="auto"/>
            </w:tcBorders>
            <w:vAlign w:val="center"/>
          </w:tcPr>
          <w:p w14:paraId="2A9F4887" w14:textId="7777777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RUCAS/</w:t>
            </w:r>
          </w:p>
          <w:p w14:paraId="3BAE329E" w14:textId="7777777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RESRAD</w:t>
            </w:r>
          </w:p>
        </w:tc>
        <w:tc>
          <w:tcPr>
            <w:tcW w:w="2404" w:type="dxa"/>
            <w:tcBorders>
              <w:top w:val="single" w:sz="4" w:space="0" w:color="auto"/>
            </w:tcBorders>
            <w:vAlign w:val="center"/>
          </w:tcPr>
          <w:p w14:paraId="24D8AD7E" w14:textId="7777777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RUCAS/</w:t>
            </w:r>
          </w:p>
          <w:p w14:paraId="2784894D" w14:textId="77777777" w:rsidR="001261C7" w:rsidRPr="005B1928" w:rsidRDefault="000D07EC" w:rsidP="00DB483C">
            <w:pPr>
              <w:spacing w:after="0" w:line="240" w:lineRule="auto"/>
              <w:jc w:val="center"/>
              <w:rPr>
                <w:b/>
                <w:color w:val="000000" w:themeColor="text1"/>
                <w:sz w:val="24"/>
                <w:szCs w:val="24"/>
              </w:rPr>
            </w:pPr>
            <w:proofErr w:type="spellStart"/>
            <w:r w:rsidRPr="005B1928">
              <w:rPr>
                <w:b/>
                <w:color w:val="000000" w:themeColor="text1"/>
                <w:sz w:val="24"/>
                <w:szCs w:val="24"/>
              </w:rPr>
              <w:t>MicroShield</w:t>
            </w:r>
            <w:proofErr w:type="spellEnd"/>
            <w:r w:rsidRPr="005B1928">
              <w:rPr>
                <w:b/>
                <w:color w:val="000000" w:themeColor="text1"/>
                <w:sz w:val="24"/>
                <w:szCs w:val="24"/>
                <w:vertAlign w:val="superscript"/>
              </w:rPr>
              <w:t>®</w:t>
            </w:r>
          </w:p>
        </w:tc>
        <w:tc>
          <w:tcPr>
            <w:tcW w:w="2404" w:type="dxa"/>
            <w:tcBorders>
              <w:top w:val="single" w:sz="4" w:space="0" w:color="auto"/>
            </w:tcBorders>
            <w:vAlign w:val="center"/>
          </w:tcPr>
          <w:p w14:paraId="2294103D" w14:textId="7777777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RUCAS/</w:t>
            </w:r>
          </w:p>
          <w:p w14:paraId="253FAFA8" w14:textId="77777777" w:rsidR="001261C7" w:rsidRPr="005B1928" w:rsidRDefault="000D07EC" w:rsidP="00DB483C">
            <w:pPr>
              <w:spacing w:after="0" w:line="240" w:lineRule="auto"/>
              <w:jc w:val="center"/>
              <w:rPr>
                <w:b/>
                <w:color w:val="000000" w:themeColor="text1"/>
                <w:sz w:val="24"/>
                <w:szCs w:val="24"/>
              </w:rPr>
            </w:pPr>
            <w:r w:rsidRPr="005B1928">
              <w:rPr>
                <w:b/>
                <w:color w:val="000000" w:themeColor="text1"/>
                <w:sz w:val="24"/>
                <w:szCs w:val="24"/>
              </w:rPr>
              <w:t>RESRAD</w:t>
            </w:r>
          </w:p>
        </w:tc>
      </w:tr>
      <w:tr w:rsidR="00DD1F3F" w14:paraId="62E37186" w14:textId="77777777" w:rsidTr="00736117">
        <w:trPr>
          <w:trHeight w:val="552"/>
          <w:jc w:val="center"/>
        </w:trPr>
        <w:tc>
          <w:tcPr>
            <w:tcW w:w="1577" w:type="dxa"/>
            <w:vAlign w:val="center"/>
          </w:tcPr>
          <w:p w14:paraId="6C9DC527" w14:textId="77777777" w:rsidR="001261C7" w:rsidRDefault="000D07EC" w:rsidP="00DB483C">
            <w:pPr>
              <w:spacing w:after="0" w:line="240" w:lineRule="auto"/>
              <w:jc w:val="center"/>
              <w:rPr>
                <w:b/>
                <w:color w:val="000000" w:themeColor="text1"/>
                <w:sz w:val="24"/>
                <w:szCs w:val="24"/>
              </w:rPr>
            </w:pPr>
            <w:r>
              <w:rPr>
                <w:rFonts w:hint="eastAsia"/>
                <w:bCs/>
                <w:color w:val="000000" w:themeColor="text1"/>
                <w:sz w:val="24"/>
                <w:szCs w:val="24"/>
              </w:rPr>
              <w:t>Co-60</w:t>
            </w:r>
          </w:p>
        </w:tc>
        <w:tc>
          <w:tcPr>
            <w:tcW w:w="2403" w:type="dxa"/>
            <w:vAlign w:val="center"/>
          </w:tcPr>
          <w:p w14:paraId="7BA15F7A" w14:textId="77777777" w:rsidR="001261C7" w:rsidRPr="00C43910"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6.36</w:t>
            </w:r>
          </w:p>
        </w:tc>
        <w:tc>
          <w:tcPr>
            <w:tcW w:w="2404" w:type="dxa"/>
            <w:vAlign w:val="center"/>
          </w:tcPr>
          <w:p w14:paraId="78D8C454" w14:textId="77777777" w:rsidR="001261C7" w:rsidRPr="00C43910"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1.06</w:t>
            </w:r>
          </w:p>
        </w:tc>
        <w:tc>
          <w:tcPr>
            <w:tcW w:w="2404" w:type="dxa"/>
            <w:vAlign w:val="center"/>
          </w:tcPr>
          <w:p w14:paraId="2EF0B1D8" w14:textId="77777777" w:rsidR="001261C7" w:rsidRPr="00C43910" w:rsidRDefault="000D07EC" w:rsidP="00DB483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012163D8" w14:textId="77777777" w:rsidTr="00736117">
        <w:trPr>
          <w:trHeight w:val="552"/>
          <w:jc w:val="center"/>
        </w:trPr>
        <w:tc>
          <w:tcPr>
            <w:tcW w:w="1577" w:type="dxa"/>
            <w:vAlign w:val="center"/>
          </w:tcPr>
          <w:p w14:paraId="4A871B83" w14:textId="77777777" w:rsidR="001261C7" w:rsidRDefault="000D07EC" w:rsidP="00DB483C">
            <w:pPr>
              <w:spacing w:after="0" w:line="240" w:lineRule="auto"/>
              <w:jc w:val="center"/>
              <w:rPr>
                <w:bCs/>
                <w:color w:val="000000" w:themeColor="text1"/>
                <w:sz w:val="24"/>
                <w:szCs w:val="24"/>
              </w:rPr>
            </w:pPr>
            <w:r>
              <w:rPr>
                <w:rFonts w:hint="eastAsia"/>
                <w:bCs/>
                <w:color w:val="000000" w:themeColor="text1"/>
                <w:sz w:val="24"/>
                <w:szCs w:val="24"/>
              </w:rPr>
              <w:t>Cs-137</w:t>
            </w:r>
          </w:p>
        </w:tc>
        <w:tc>
          <w:tcPr>
            <w:tcW w:w="2403" w:type="dxa"/>
            <w:vAlign w:val="center"/>
          </w:tcPr>
          <w:p w14:paraId="3C3757C4" w14:textId="77777777" w:rsidR="001261C7" w:rsidRPr="00721786"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6.08</w:t>
            </w:r>
          </w:p>
        </w:tc>
        <w:tc>
          <w:tcPr>
            <w:tcW w:w="2404" w:type="dxa"/>
            <w:vAlign w:val="center"/>
          </w:tcPr>
          <w:p w14:paraId="322ED89D" w14:textId="77777777" w:rsidR="001261C7" w:rsidRPr="00721786"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1.11</w:t>
            </w:r>
          </w:p>
        </w:tc>
        <w:tc>
          <w:tcPr>
            <w:tcW w:w="2404" w:type="dxa"/>
            <w:vAlign w:val="center"/>
          </w:tcPr>
          <w:p w14:paraId="4A38D3C7" w14:textId="77777777" w:rsidR="001261C7" w:rsidRPr="00721786" w:rsidRDefault="000D07EC" w:rsidP="00DB483C">
            <w:pPr>
              <w:spacing w:after="0" w:line="240" w:lineRule="auto"/>
              <w:jc w:val="center"/>
              <w:rPr>
                <w:bCs/>
                <w:color w:val="000000" w:themeColor="text1"/>
                <w:sz w:val="24"/>
                <w:szCs w:val="24"/>
              </w:rPr>
            </w:pPr>
            <w:r w:rsidRPr="00721786">
              <w:rPr>
                <w:bCs/>
                <w:color w:val="000000" w:themeColor="text1"/>
                <w:sz w:val="24"/>
                <w:szCs w:val="24"/>
              </w:rPr>
              <w:t>1.00</w:t>
            </w:r>
          </w:p>
        </w:tc>
      </w:tr>
      <w:tr w:rsidR="00DD1F3F" w14:paraId="6CCEDEC7" w14:textId="77777777" w:rsidTr="00736117">
        <w:trPr>
          <w:trHeight w:val="552"/>
          <w:jc w:val="center"/>
        </w:trPr>
        <w:tc>
          <w:tcPr>
            <w:tcW w:w="1577" w:type="dxa"/>
            <w:vAlign w:val="center"/>
          </w:tcPr>
          <w:p w14:paraId="7900142E" w14:textId="77777777" w:rsidR="001261C7" w:rsidRDefault="000D07EC" w:rsidP="00DB483C">
            <w:pPr>
              <w:spacing w:after="0" w:line="240" w:lineRule="auto"/>
              <w:jc w:val="center"/>
              <w:rPr>
                <w:bCs/>
                <w:color w:val="000000" w:themeColor="text1"/>
                <w:sz w:val="24"/>
                <w:szCs w:val="24"/>
              </w:rPr>
            </w:pPr>
            <w:r>
              <w:rPr>
                <w:rFonts w:hint="eastAsia"/>
                <w:bCs/>
                <w:color w:val="000000" w:themeColor="text1"/>
                <w:sz w:val="24"/>
                <w:szCs w:val="24"/>
              </w:rPr>
              <w:t>Zn-65</w:t>
            </w:r>
          </w:p>
        </w:tc>
        <w:tc>
          <w:tcPr>
            <w:tcW w:w="2403" w:type="dxa"/>
            <w:vAlign w:val="center"/>
          </w:tcPr>
          <w:p w14:paraId="13132A31" w14:textId="77777777" w:rsidR="001261C7" w:rsidRPr="00721786"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5.80</w:t>
            </w:r>
          </w:p>
        </w:tc>
        <w:tc>
          <w:tcPr>
            <w:tcW w:w="2404" w:type="dxa"/>
            <w:vAlign w:val="center"/>
          </w:tcPr>
          <w:p w14:paraId="61465405" w14:textId="77777777" w:rsidR="001261C7" w:rsidRPr="00721786" w:rsidRDefault="000D07EC" w:rsidP="00DB483C">
            <w:pPr>
              <w:spacing w:after="0" w:line="240" w:lineRule="auto"/>
              <w:jc w:val="center"/>
              <w:rPr>
                <w:bCs/>
                <w:color w:val="000000" w:themeColor="text1"/>
                <w:sz w:val="24"/>
                <w:szCs w:val="24"/>
              </w:rPr>
            </w:pPr>
            <w:r w:rsidRPr="00721786">
              <w:rPr>
                <w:rFonts w:hint="eastAsia"/>
                <w:bCs/>
                <w:color w:val="000000" w:themeColor="text1"/>
                <w:sz w:val="24"/>
                <w:szCs w:val="24"/>
              </w:rPr>
              <w:t>1.08</w:t>
            </w:r>
          </w:p>
        </w:tc>
        <w:tc>
          <w:tcPr>
            <w:tcW w:w="2404" w:type="dxa"/>
            <w:vAlign w:val="center"/>
          </w:tcPr>
          <w:p w14:paraId="621222D3" w14:textId="77777777" w:rsidR="001261C7" w:rsidRPr="00721786" w:rsidRDefault="000D07EC" w:rsidP="00DB483C">
            <w:pPr>
              <w:spacing w:after="0" w:line="240" w:lineRule="auto"/>
              <w:jc w:val="center"/>
              <w:rPr>
                <w:bCs/>
                <w:color w:val="000000" w:themeColor="text1"/>
                <w:sz w:val="24"/>
                <w:szCs w:val="24"/>
              </w:rPr>
            </w:pPr>
            <w:r w:rsidRPr="00721786">
              <w:rPr>
                <w:bCs/>
                <w:color w:val="000000" w:themeColor="text1"/>
                <w:sz w:val="24"/>
                <w:szCs w:val="24"/>
              </w:rPr>
              <w:t>1.00</w:t>
            </w:r>
          </w:p>
        </w:tc>
      </w:tr>
    </w:tbl>
    <w:p w14:paraId="3B452456" w14:textId="77777777" w:rsidR="00A43D6E" w:rsidRDefault="00A43D6E">
      <w:pPr>
        <w:spacing w:after="200" w:line="480" w:lineRule="auto"/>
        <w:jc w:val="left"/>
        <w:rPr>
          <w:b/>
          <w:sz w:val="24"/>
        </w:rPr>
      </w:pPr>
    </w:p>
    <w:p w14:paraId="3B452457" w14:textId="77777777" w:rsidR="00A43D6E" w:rsidRDefault="000D07EC">
      <w:pPr>
        <w:widowControl/>
        <w:jc w:val="left"/>
        <w:rPr>
          <w:b/>
          <w:sz w:val="24"/>
        </w:rPr>
      </w:pPr>
      <w:r>
        <w:rPr>
          <w:sz w:val="24"/>
        </w:rPr>
        <w:br w:type="page"/>
      </w:r>
    </w:p>
    <w:p w14:paraId="3B452458" w14:textId="2C21A1C7" w:rsidR="00A43D6E" w:rsidRDefault="000D07EC">
      <w:pPr>
        <w:pStyle w:val="af2"/>
        <w:jc w:val="left"/>
        <w:rPr>
          <w:sz w:val="24"/>
          <w:lang w:eastAsia="ko-KR"/>
        </w:rPr>
      </w:pPr>
      <w:bookmarkStart w:id="17" w:name="bm310"/>
      <w:r>
        <w:rPr>
          <w:sz w:val="24"/>
        </w:rPr>
        <w:lastRenderedPageBreak/>
        <w:t xml:space="preserve">Table </w:t>
      </w:r>
      <w:r>
        <w:rPr>
          <w:sz w:val="24"/>
          <w:szCs w:val="24"/>
        </w:rPr>
        <w:fldChar w:fldCharType="begin"/>
      </w:r>
      <w:r>
        <w:rPr>
          <w:sz w:val="24"/>
          <w:szCs w:val="24"/>
        </w:rPr>
        <w:instrText xml:space="preserve"> SEQ Table \* ARABIC </w:instrText>
      </w:r>
      <w:r>
        <w:rPr>
          <w:sz w:val="24"/>
          <w:szCs w:val="24"/>
        </w:rPr>
        <w:fldChar w:fldCharType="separate"/>
      </w:r>
      <w:r w:rsidR="00910F9D">
        <w:rPr>
          <w:noProof/>
          <w:sz w:val="24"/>
          <w:szCs w:val="24"/>
        </w:rPr>
        <w:t>8</w:t>
      </w:r>
      <w:r>
        <w:rPr>
          <w:sz w:val="24"/>
        </w:rPr>
        <w:fldChar w:fldCharType="end"/>
      </w:r>
      <w:bookmarkEnd w:id="17"/>
      <w:r>
        <w:rPr>
          <w:sz w:val="24"/>
        </w:rPr>
        <w:t xml:space="preserve"> </w:t>
      </w:r>
      <w:r>
        <w:rPr>
          <w:b w:val="0"/>
          <w:sz w:val="24"/>
        </w:rPr>
        <w:t>Average external exposure dose ratios for five source geometries under iron source-concrete</w:t>
      </w:r>
      <w:r w:rsidR="008D705F">
        <w:rPr>
          <w:b w:val="0"/>
          <w:sz w:val="24"/>
        </w:rPr>
        <w:t>-</w:t>
      </w:r>
      <w:r>
        <w:rPr>
          <w:b w:val="0"/>
          <w:sz w:val="24"/>
        </w:rPr>
        <w:t xml:space="preserve">shielding condition, obtained by applying two buildup factor calculation methodologies for multilayer shielding </w:t>
      </w:r>
      <w:r w:rsidR="00493DB7">
        <w:rPr>
          <w:rFonts w:hint="eastAsia"/>
          <w:b w:val="0"/>
          <w:sz w:val="24"/>
          <w:lang w:eastAsia="ko-KR"/>
        </w:rPr>
        <w:t>[32, 33].</w:t>
      </w:r>
    </w:p>
    <w:tbl>
      <w:tblPr>
        <w:tblStyle w:val="a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137"/>
        <w:gridCol w:w="2285"/>
        <w:gridCol w:w="2907"/>
        <w:gridCol w:w="2909"/>
      </w:tblGrid>
      <w:tr w:rsidR="00DD1F3F" w14:paraId="5E424893" w14:textId="77777777" w:rsidTr="008605EB">
        <w:trPr>
          <w:trHeight w:val="481"/>
          <w:jc w:val="center"/>
        </w:trPr>
        <w:tc>
          <w:tcPr>
            <w:tcW w:w="1137" w:type="dxa"/>
            <w:vMerge w:val="restart"/>
            <w:tcBorders>
              <w:top w:val="single" w:sz="12" w:space="0" w:color="auto"/>
              <w:bottom w:val="single" w:sz="4" w:space="0" w:color="auto"/>
            </w:tcBorders>
            <w:vAlign w:val="center"/>
          </w:tcPr>
          <w:p w14:paraId="0209F23C" w14:textId="77777777" w:rsidR="008605EB" w:rsidRPr="005B1928" w:rsidRDefault="000D07EC" w:rsidP="008605EB">
            <w:pPr>
              <w:spacing w:after="0" w:line="240" w:lineRule="auto"/>
              <w:jc w:val="center"/>
              <w:rPr>
                <w:b/>
                <w:color w:val="000000" w:themeColor="text1"/>
                <w:sz w:val="24"/>
                <w:szCs w:val="24"/>
              </w:rPr>
            </w:pPr>
            <w:r w:rsidRPr="005B1928">
              <w:rPr>
                <w:b/>
                <w:color w:val="000000" w:themeColor="text1"/>
                <w:sz w:val="24"/>
                <w:szCs w:val="24"/>
              </w:rPr>
              <w:t>#</w:t>
            </w:r>
          </w:p>
        </w:tc>
        <w:tc>
          <w:tcPr>
            <w:tcW w:w="2285" w:type="dxa"/>
            <w:vMerge w:val="restart"/>
            <w:tcBorders>
              <w:top w:val="single" w:sz="12" w:space="0" w:color="auto"/>
              <w:bottom w:val="single" w:sz="4" w:space="0" w:color="auto"/>
            </w:tcBorders>
            <w:vAlign w:val="center"/>
          </w:tcPr>
          <w:p w14:paraId="529E8E16" w14:textId="77777777" w:rsidR="008605EB" w:rsidRPr="005B1928" w:rsidRDefault="000D07EC" w:rsidP="008605EB">
            <w:pPr>
              <w:spacing w:after="0" w:line="240" w:lineRule="auto"/>
              <w:jc w:val="center"/>
              <w:rPr>
                <w:b/>
                <w:color w:val="000000" w:themeColor="text1"/>
                <w:sz w:val="24"/>
                <w:szCs w:val="24"/>
              </w:rPr>
            </w:pPr>
            <w:r w:rsidRPr="005B1928">
              <w:rPr>
                <w:b/>
                <w:color w:val="000000" w:themeColor="text1"/>
                <w:sz w:val="24"/>
                <w:szCs w:val="24"/>
              </w:rPr>
              <w:t>Source</w:t>
            </w:r>
          </w:p>
          <w:p w14:paraId="27BDB4DE" w14:textId="0E10DBE1" w:rsidR="008605EB" w:rsidRPr="005B1928" w:rsidRDefault="000D07EC" w:rsidP="008605EB">
            <w:pPr>
              <w:spacing w:after="0" w:line="240" w:lineRule="auto"/>
              <w:jc w:val="center"/>
              <w:rPr>
                <w:b/>
                <w:color w:val="000000" w:themeColor="text1"/>
                <w:sz w:val="24"/>
                <w:szCs w:val="24"/>
              </w:rPr>
            </w:pPr>
            <w:r w:rsidRPr="005B1928">
              <w:rPr>
                <w:b/>
                <w:color w:val="000000" w:themeColor="text1"/>
                <w:sz w:val="24"/>
                <w:szCs w:val="24"/>
              </w:rPr>
              <w:t>geometry</w:t>
            </w:r>
          </w:p>
        </w:tc>
        <w:tc>
          <w:tcPr>
            <w:tcW w:w="5816" w:type="dxa"/>
            <w:gridSpan w:val="2"/>
            <w:tcBorders>
              <w:top w:val="single" w:sz="12" w:space="0" w:color="auto"/>
            </w:tcBorders>
            <w:vAlign w:val="center"/>
          </w:tcPr>
          <w:p w14:paraId="33D06F15" w14:textId="77777777" w:rsidR="008605EB" w:rsidRPr="005B1928" w:rsidRDefault="000D07EC" w:rsidP="008605EB">
            <w:pPr>
              <w:spacing w:after="0" w:line="240" w:lineRule="auto"/>
              <w:jc w:val="center"/>
              <w:rPr>
                <w:b/>
                <w:color w:val="000000" w:themeColor="text1"/>
                <w:sz w:val="24"/>
                <w:szCs w:val="24"/>
              </w:rPr>
            </w:pPr>
            <w:r w:rsidRPr="005B1928">
              <w:rPr>
                <w:b/>
                <w:color w:val="000000" w:themeColor="text1"/>
                <w:sz w:val="24"/>
                <w:szCs w:val="24"/>
              </w:rPr>
              <w:t>RUCAS/</w:t>
            </w:r>
            <w:proofErr w:type="spellStart"/>
            <w:r w:rsidRPr="005B1928">
              <w:rPr>
                <w:b/>
                <w:color w:val="000000" w:themeColor="text1"/>
                <w:sz w:val="24"/>
                <w:szCs w:val="24"/>
              </w:rPr>
              <w:t>MicroShield</w:t>
            </w:r>
            <w:proofErr w:type="spellEnd"/>
            <w:r w:rsidRPr="005B1928">
              <w:rPr>
                <w:rFonts w:hint="eastAsia"/>
                <w:b/>
                <w:color w:val="000000" w:themeColor="text1"/>
                <w:sz w:val="24"/>
                <w:szCs w:val="24"/>
                <w:vertAlign w:val="superscript"/>
              </w:rPr>
              <w:t>®</w:t>
            </w:r>
          </w:p>
        </w:tc>
      </w:tr>
      <w:tr w:rsidR="00DD1F3F" w14:paraId="0627EE74" w14:textId="77777777" w:rsidTr="008605EB">
        <w:trPr>
          <w:trHeight w:val="481"/>
          <w:jc w:val="center"/>
        </w:trPr>
        <w:tc>
          <w:tcPr>
            <w:tcW w:w="1137" w:type="dxa"/>
            <w:vMerge/>
            <w:tcBorders>
              <w:top w:val="single" w:sz="4" w:space="0" w:color="auto"/>
              <w:bottom w:val="double" w:sz="4" w:space="0" w:color="auto"/>
            </w:tcBorders>
            <w:vAlign w:val="center"/>
          </w:tcPr>
          <w:p w14:paraId="2FE72857" w14:textId="77777777" w:rsidR="008605EB" w:rsidRPr="005B1928" w:rsidRDefault="008605EB" w:rsidP="008605EB">
            <w:pPr>
              <w:spacing w:after="0" w:line="240" w:lineRule="auto"/>
              <w:jc w:val="center"/>
              <w:rPr>
                <w:b/>
                <w:color w:val="000000" w:themeColor="text1"/>
                <w:sz w:val="24"/>
                <w:szCs w:val="24"/>
              </w:rPr>
            </w:pPr>
          </w:p>
        </w:tc>
        <w:tc>
          <w:tcPr>
            <w:tcW w:w="2285" w:type="dxa"/>
            <w:vMerge/>
            <w:tcBorders>
              <w:top w:val="single" w:sz="4" w:space="0" w:color="auto"/>
              <w:bottom w:val="double" w:sz="4" w:space="0" w:color="auto"/>
            </w:tcBorders>
            <w:vAlign w:val="center"/>
          </w:tcPr>
          <w:p w14:paraId="52034B86" w14:textId="77777777" w:rsidR="008605EB" w:rsidRPr="005B1928" w:rsidRDefault="008605EB" w:rsidP="008605EB">
            <w:pPr>
              <w:spacing w:after="0" w:line="240" w:lineRule="auto"/>
              <w:jc w:val="center"/>
              <w:rPr>
                <w:b/>
                <w:color w:val="000000" w:themeColor="text1"/>
                <w:sz w:val="24"/>
                <w:szCs w:val="24"/>
              </w:rPr>
            </w:pPr>
          </w:p>
        </w:tc>
        <w:tc>
          <w:tcPr>
            <w:tcW w:w="2907" w:type="dxa"/>
            <w:tcBorders>
              <w:top w:val="single" w:sz="4" w:space="0" w:color="auto"/>
              <w:bottom w:val="double" w:sz="4" w:space="0" w:color="auto"/>
            </w:tcBorders>
            <w:vAlign w:val="center"/>
          </w:tcPr>
          <w:p w14:paraId="63753D2D" w14:textId="376421B4" w:rsidR="008605EB" w:rsidRPr="005B1928" w:rsidRDefault="000D07EC" w:rsidP="008605EB">
            <w:pPr>
              <w:spacing w:after="0" w:line="240" w:lineRule="auto"/>
              <w:jc w:val="center"/>
              <w:rPr>
                <w:b/>
                <w:color w:val="000000" w:themeColor="text1"/>
                <w:sz w:val="24"/>
                <w:szCs w:val="24"/>
              </w:rPr>
            </w:pPr>
            <w:r>
              <w:rPr>
                <w:b/>
                <w:color w:val="000000"/>
                <w:sz w:val="24"/>
              </w:rPr>
              <w:t>Kalos et al. (1956)</w:t>
            </w:r>
          </w:p>
        </w:tc>
        <w:tc>
          <w:tcPr>
            <w:tcW w:w="2909" w:type="dxa"/>
            <w:tcBorders>
              <w:top w:val="single" w:sz="4" w:space="0" w:color="auto"/>
              <w:bottom w:val="double" w:sz="4" w:space="0" w:color="auto"/>
            </w:tcBorders>
            <w:vAlign w:val="center"/>
          </w:tcPr>
          <w:p w14:paraId="23B8DDF6" w14:textId="176DBB7A" w:rsidR="008605EB" w:rsidRPr="005B1928" w:rsidRDefault="000D07EC" w:rsidP="008605EB">
            <w:pPr>
              <w:spacing w:after="0" w:line="240" w:lineRule="auto"/>
              <w:jc w:val="center"/>
              <w:rPr>
                <w:b/>
                <w:color w:val="000000" w:themeColor="text1"/>
                <w:sz w:val="24"/>
                <w:szCs w:val="24"/>
              </w:rPr>
            </w:pPr>
            <w:r>
              <w:rPr>
                <w:b/>
                <w:color w:val="000000"/>
                <w:sz w:val="24"/>
              </w:rPr>
              <w:t>Lin and Jiang (1996)</w:t>
            </w:r>
          </w:p>
        </w:tc>
      </w:tr>
      <w:tr w:rsidR="00DD1F3F" w14:paraId="02E52140" w14:textId="77777777" w:rsidTr="008605EB">
        <w:trPr>
          <w:trHeight w:val="506"/>
          <w:jc w:val="center"/>
        </w:trPr>
        <w:tc>
          <w:tcPr>
            <w:tcW w:w="1137" w:type="dxa"/>
            <w:tcBorders>
              <w:top w:val="double" w:sz="4" w:space="0" w:color="auto"/>
            </w:tcBorders>
            <w:vAlign w:val="center"/>
          </w:tcPr>
          <w:p w14:paraId="44F38193"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w:t>
            </w:r>
          </w:p>
        </w:tc>
        <w:tc>
          <w:tcPr>
            <w:tcW w:w="2285" w:type="dxa"/>
            <w:tcBorders>
              <w:top w:val="double" w:sz="4" w:space="0" w:color="auto"/>
            </w:tcBorders>
            <w:vAlign w:val="center"/>
          </w:tcPr>
          <w:p w14:paraId="4CBECF66"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Cylinder</w:t>
            </w:r>
          </w:p>
        </w:tc>
        <w:tc>
          <w:tcPr>
            <w:tcW w:w="2907" w:type="dxa"/>
            <w:tcBorders>
              <w:top w:val="double" w:sz="4" w:space="0" w:color="auto"/>
            </w:tcBorders>
            <w:vAlign w:val="center"/>
          </w:tcPr>
          <w:p w14:paraId="4F276494"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1.02</w:t>
            </w:r>
          </w:p>
        </w:tc>
        <w:tc>
          <w:tcPr>
            <w:tcW w:w="2909" w:type="dxa"/>
            <w:tcBorders>
              <w:top w:val="double" w:sz="4" w:space="0" w:color="auto"/>
            </w:tcBorders>
            <w:vAlign w:val="center"/>
          </w:tcPr>
          <w:p w14:paraId="354A6A84"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1.13</w:t>
            </w:r>
          </w:p>
        </w:tc>
      </w:tr>
      <w:tr w:rsidR="00DD1F3F" w14:paraId="519D458D" w14:textId="77777777" w:rsidTr="008605EB">
        <w:trPr>
          <w:trHeight w:val="506"/>
          <w:jc w:val="center"/>
        </w:trPr>
        <w:tc>
          <w:tcPr>
            <w:tcW w:w="1137" w:type="dxa"/>
            <w:vAlign w:val="center"/>
          </w:tcPr>
          <w:p w14:paraId="2B3938D1"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2</w:t>
            </w:r>
          </w:p>
        </w:tc>
        <w:tc>
          <w:tcPr>
            <w:tcW w:w="2285" w:type="dxa"/>
            <w:vAlign w:val="center"/>
          </w:tcPr>
          <w:p w14:paraId="4D4575FB"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Disk</w:t>
            </w:r>
          </w:p>
        </w:tc>
        <w:tc>
          <w:tcPr>
            <w:tcW w:w="2907" w:type="dxa"/>
            <w:vAlign w:val="center"/>
          </w:tcPr>
          <w:p w14:paraId="7CCBF6AC"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1.04</w:t>
            </w:r>
          </w:p>
        </w:tc>
        <w:tc>
          <w:tcPr>
            <w:tcW w:w="2909" w:type="dxa"/>
            <w:vAlign w:val="center"/>
          </w:tcPr>
          <w:p w14:paraId="37C3122E"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1.04</w:t>
            </w:r>
          </w:p>
        </w:tc>
      </w:tr>
      <w:tr w:rsidR="00DD1F3F" w14:paraId="3A1B3748" w14:textId="77777777" w:rsidTr="008605EB">
        <w:trPr>
          <w:trHeight w:val="506"/>
          <w:jc w:val="center"/>
        </w:trPr>
        <w:tc>
          <w:tcPr>
            <w:tcW w:w="1137" w:type="dxa"/>
            <w:vAlign w:val="center"/>
          </w:tcPr>
          <w:p w14:paraId="19822012"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3</w:t>
            </w:r>
          </w:p>
        </w:tc>
        <w:tc>
          <w:tcPr>
            <w:tcW w:w="2285" w:type="dxa"/>
            <w:vAlign w:val="center"/>
          </w:tcPr>
          <w:p w14:paraId="301510F5"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Plane</w:t>
            </w:r>
          </w:p>
        </w:tc>
        <w:tc>
          <w:tcPr>
            <w:tcW w:w="2907" w:type="dxa"/>
            <w:vAlign w:val="center"/>
          </w:tcPr>
          <w:p w14:paraId="3338463F"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1.04</w:t>
            </w:r>
          </w:p>
        </w:tc>
        <w:tc>
          <w:tcPr>
            <w:tcW w:w="2909" w:type="dxa"/>
            <w:vAlign w:val="center"/>
          </w:tcPr>
          <w:p w14:paraId="10EB9E0E"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1.04</w:t>
            </w:r>
          </w:p>
        </w:tc>
      </w:tr>
      <w:tr w:rsidR="00DD1F3F" w14:paraId="60B5FB92" w14:textId="77777777" w:rsidTr="008605EB">
        <w:trPr>
          <w:trHeight w:val="506"/>
          <w:jc w:val="center"/>
        </w:trPr>
        <w:tc>
          <w:tcPr>
            <w:tcW w:w="1137" w:type="dxa"/>
            <w:vAlign w:val="center"/>
          </w:tcPr>
          <w:p w14:paraId="4124A7D6"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4</w:t>
            </w:r>
          </w:p>
        </w:tc>
        <w:tc>
          <w:tcPr>
            <w:tcW w:w="2285" w:type="dxa"/>
            <w:vAlign w:val="center"/>
          </w:tcPr>
          <w:p w14:paraId="36479F0D" w14:textId="40C53742"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 xml:space="preserve">Rectangular </w:t>
            </w:r>
            <w:r w:rsidR="00966605" w:rsidRPr="00721786">
              <w:rPr>
                <w:bCs/>
                <w:color w:val="000000" w:themeColor="text1"/>
                <w:sz w:val="24"/>
                <w:szCs w:val="24"/>
              </w:rPr>
              <w:t>volume</w:t>
            </w:r>
          </w:p>
        </w:tc>
        <w:tc>
          <w:tcPr>
            <w:tcW w:w="2907" w:type="dxa"/>
            <w:vAlign w:val="center"/>
          </w:tcPr>
          <w:p w14:paraId="74AD752F"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1.02</w:t>
            </w:r>
          </w:p>
        </w:tc>
        <w:tc>
          <w:tcPr>
            <w:tcW w:w="2909" w:type="dxa"/>
            <w:vAlign w:val="center"/>
          </w:tcPr>
          <w:p w14:paraId="3D758682"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1.13</w:t>
            </w:r>
          </w:p>
        </w:tc>
      </w:tr>
      <w:tr w:rsidR="00DD1F3F" w14:paraId="2EB9252D" w14:textId="77777777" w:rsidTr="008605EB">
        <w:trPr>
          <w:trHeight w:val="506"/>
          <w:jc w:val="center"/>
        </w:trPr>
        <w:tc>
          <w:tcPr>
            <w:tcW w:w="1137" w:type="dxa"/>
            <w:vAlign w:val="center"/>
          </w:tcPr>
          <w:p w14:paraId="408101C8"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5</w:t>
            </w:r>
          </w:p>
        </w:tc>
        <w:tc>
          <w:tcPr>
            <w:tcW w:w="2285" w:type="dxa"/>
            <w:vAlign w:val="center"/>
          </w:tcPr>
          <w:p w14:paraId="302E2528"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Sphere</w:t>
            </w:r>
          </w:p>
        </w:tc>
        <w:tc>
          <w:tcPr>
            <w:tcW w:w="2907" w:type="dxa"/>
            <w:vAlign w:val="center"/>
          </w:tcPr>
          <w:p w14:paraId="75543EA7"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1.03</w:t>
            </w:r>
          </w:p>
        </w:tc>
        <w:tc>
          <w:tcPr>
            <w:tcW w:w="2909" w:type="dxa"/>
            <w:vAlign w:val="center"/>
          </w:tcPr>
          <w:p w14:paraId="3BF485AE" w14:textId="77777777" w:rsidR="008605EB" w:rsidRPr="00721786" w:rsidRDefault="000D07EC" w:rsidP="008605EB">
            <w:pPr>
              <w:spacing w:after="0" w:line="240" w:lineRule="auto"/>
              <w:jc w:val="center"/>
              <w:rPr>
                <w:bCs/>
                <w:color w:val="000000" w:themeColor="text1"/>
                <w:sz w:val="24"/>
                <w:szCs w:val="24"/>
              </w:rPr>
            </w:pPr>
            <w:r w:rsidRPr="00721786">
              <w:rPr>
                <w:rFonts w:hint="eastAsia"/>
                <w:bCs/>
                <w:color w:val="000000" w:themeColor="text1"/>
                <w:sz w:val="24"/>
                <w:szCs w:val="24"/>
              </w:rPr>
              <w:t>1.14</w:t>
            </w:r>
          </w:p>
        </w:tc>
      </w:tr>
    </w:tbl>
    <w:p w14:paraId="3B4524C1" w14:textId="66439725" w:rsidR="005661F6" w:rsidRDefault="005661F6">
      <w:pPr>
        <w:widowControl/>
        <w:jc w:val="left"/>
        <w:rPr>
          <w:b/>
          <w:sz w:val="24"/>
          <w:lang w:eastAsia="ko-KR"/>
        </w:rPr>
      </w:pPr>
    </w:p>
    <w:p w14:paraId="40ADCAA3" w14:textId="4B870FB0" w:rsidR="00A43D6E" w:rsidRDefault="005661F6" w:rsidP="00910F9D">
      <w:pPr>
        <w:pStyle w:val="af2"/>
        <w:rPr>
          <w:b w:val="0"/>
          <w:bCs/>
          <w:sz w:val="24"/>
          <w:szCs w:val="24"/>
          <w:lang w:eastAsia="ko-KR"/>
        </w:rPr>
      </w:pPr>
      <w:r>
        <w:rPr>
          <w:b w:val="0"/>
          <w:sz w:val="24"/>
          <w:lang w:eastAsia="ko-KR"/>
        </w:rPr>
        <w:br w:type="page"/>
      </w:r>
      <w:bookmarkStart w:id="18" w:name="_Ref189569533"/>
      <w:r w:rsidR="00910F9D" w:rsidRPr="00910F9D">
        <w:rPr>
          <w:sz w:val="24"/>
          <w:szCs w:val="24"/>
        </w:rPr>
        <w:lastRenderedPageBreak/>
        <w:t xml:space="preserve">Table </w:t>
      </w:r>
      <w:r w:rsidR="00910F9D" w:rsidRPr="00910F9D">
        <w:rPr>
          <w:sz w:val="24"/>
          <w:szCs w:val="24"/>
        </w:rPr>
        <w:fldChar w:fldCharType="begin"/>
      </w:r>
      <w:r w:rsidR="00910F9D" w:rsidRPr="00910F9D">
        <w:rPr>
          <w:sz w:val="24"/>
          <w:szCs w:val="24"/>
        </w:rPr>
        <w:instrText xml:space="preserve"> SEQ Table \* ARABIC </w:instrText>
      </w:r>
      <w:r w:rsidR="00910F9D" w:rsidRPr="00910F9D">
        <w:rPr>
          <w:sz w:val="24"/>
          <w:szCs w:val="24"/>
        </w:rPr>
        <w:fldChar w:fldCharType="separate"/>
      </w:r>
      <w:r w:rsidR="00910F9D" w:rsidRPr="00910F9D">
        <w:rPr>
          <w:noProof/>
          <w:sz w:val="24"/>
          <w:szCs w:val="24"/>
        </w:rPr>
        <w:t>9</w:t>
      </w:r>
      <w:r w:rsidR="00910F9D" w:rsidRPr="00910F9D">
        <w:rPr>
          <w:sz w:val="24"/>
          <w:szCs w:val="24"/>
        </w:rPr>
        <w:fldChar w:fldCharType="end"/>
      </w:r>
      <w:bookmarkEnd w:id="18"/>
      <w:r w:rsidR="00910F9D" w:rsidRPr="00910F9D">
        <w:rPr>
          <w:rFonts w:hint="eastAsia"/>
          <w:sz w:val="24"/>
          <w:szCs w:val="24"/>
          <w:lang w:eastAsia="ko-KR"/>
        </w:rPr>
        <w:t xml:space="preserve"> </w:t>
      </w:r>
      <w:r w:rsidR="00A62C0C">
        <w:rPr>
          <w:rFonts w:hint="eastAsia"/>
          <w:b w:val="0"/>
          <w:bCs/>
          <w:sz w:val="24"/>
          <w:szCs w:val="24"/>
          <w:lang w:eastAsia="ko-KR"/>
        </w:rPr>
        <w:t xml:space="preserve">Functional comparisons of RUCAS with conventional </w:t>
      </w:r>
      <w:r w:rsidR="00A62C0C">
        <w:rPr>
          <w:b w:val="0"/>
          <w:bCs/>
          <w:sz w:val="24"/>
          <w:szCs w:val="24"/>
          <w:lang w:eastAsia="ko-KR"/>
        </w:rPr>
        <w:t>software</w:t>
      </w:r>
      <w:r w:rsidR="00A62C0C">
        <w:rPr>
          <w:rFonts w:hint="eastAsia"/>
          <w:b w:val="0"/>
          <w:bCs/>
          <w:sz w:val="24"/>
          <w:szCs w:val="24"/>
          <w:lang w:eastAsia="ko-KR"/>
        </w:rPr>
        <w:t xml:space="preserve"> in the safety assessment for the recycling of decommissioning </w:t>
      </w:r>
      <w:r w:rsidR="00653221">
        <w:rPr>
          <w:rFonts w:hint="eastAsia"/>
          <w:b w:val="0"/>
          <w:bCs/>
          <w:sz w:val="24"/>
          <w:szCs w:val="24"/>
          <w:lang w:eastAsia="ko-KR"/>
        </w:rPr>
        <w:t>waste.</w:t>
      </w:r>
    </w:p>
    <w:tbl>
      <w:tblPr>
        <w:tblStyle w:val="a3"/>
        <w:tblW w:w="10403" w:type="dxa"/>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324"/>
        <w:gridCol w:w="2742"/>
        <w:gridCol w:w="2744"/>
        <w:gridCol w:w="2593"/>
      </w:tblGrid>
      <w:tr w:rsidR="001F025A" w:rsidRPr="009E1FA5" w14:paraId="429E5E9C" w14:textId="7E5F20DC" w:rsidTr="00DF36B2">
        <w:trPr>
          <w:trHeight w:val="605"/>
          <w:jc w:val="center"/>
        </w:trPr>
        <w:tc>
          <w:tcPr>
            <w:tcW w:w="2324" w:type="dxa"/>
            <w:tcBorders>
              <w:top w:val="single" w:sz="12" w:space="0" w:color="auto"/>
              <w:bottom w:val="double" w:sz="4" w:space="0" w:color="auto"/>
            </w:tcBorders>
            <w:vAlign w:val="center"/>
          </w:tcPr>
          <w:p w14:paraId="5F554DEE" w14:textId="264DCF66" w:rsidR="001F025A" w:rsidRPr="009E1FA5" w:rsidRDefault="00AF5D2F" w:rsidP="000D07EC">
            <w:pPr>
              <w:spacing w:after="0" w:line="240" w:lineRule="auto"/>
              <w:jc w:val="center"/>
              <w:rPr>
                <w:b/>
                <w:color w:val="000000" w:themeColor="text1"/>
                <w:sz w:val="24"/>
                <w:szCs w:val="24"/>
                <w:lang w:eastAsia="ko-KR"/>
              </w:rPr>
            </w:pPr>
            <w:r w:rsidRPr="009E1FA5">
              <w:rPr>
                <w:b/>
                <w:color w:val="000000" w:themeColor="text1"/>
                <w:sz w:val="24"/>
                <w:szCs w:val="24"/>
                <w:lang w:eastAsia="ko-KR"/>
              </w:rPr>
              <w:t>Features</w:t>
            </w:r>
          </w:p>
        </w:tc>
        <w:tc>
          <w:tcPr>
            <w:tcW w:w="2742" w:type="dxa"/>
            <w:tcBorders>
              <w:top w:val="single" w:sz="12" w:space="0" w:color="auto"/>
              <w:bottom w:val="double" w:sz="4" w:space="0" w:color="auto"/>
            </w:tcBorders>
            <w:vAlign w:val="center"/>
          </w:tcPr>
          <w:p w14:paraId="669B7B0D" w14:textId="228EFB72" w:rsidR="001F025A" w:rsidRPr="009E1FA5" w:rsidRDefault="001F025A" w:rsidP="000D07EC">
            <w:pPr>
              <w:spacing w:after="0" w:line="240" w:lineRule="auto"/>
              <w:jc w:val="center"/>
              <w:rPr>
                <w:b/>
                <w:color w:val="000000" w:themeColor="text1"/>
                <w:sz w:val="24"/>
                <w:szCs w:val="24"/>
                <w:lang w:eastAsia="ko-KR"/>
              </w:rPr>
            </w:pPr>
            <w:r w:rsidRPr="009E1FA5">
              <w:rPr>
                <w:b/>
                <w:color w:val="000000"/>
                <w:sz w:val="24"/>
                <w:lang w:eastAsia="ko-KR"/>
              </w:rPr>
              <w:t>RUCAS</w:t>
            </w:r>
          </w:p>
        </w:tc>
        <w:tc>
          <w:tcPr>
            <w:tcW w:w="2744" w:type="dxa"/>
            <w:tcBorders>
              <w:top w:val="single" w:sz="12" w:space="0" w:color="auto"/>
              <w:bottom w:val="double" w:sz="4" w:space="0" w:color="auto"/>
            </w:tcBorders>
            <w:vAlign w:val="center"/>
          </w:tcPr>
          <w:p w14:paraId="75CC8885" w14:textId="10BE7EEC" w:rsidR="001F025A" w:rsidRPr="009E1FA5" w:rsidRDefault="001F025A" w:rsidP="000D07EC">
            <w:pPr>
              <w:spacing w:after="0" w:line="240" w:lineRule="auto"/>
              <w:jc w:val="center"/>
              <w:rPr>
                <w:b/>
                <w:color w:val="000000" w:themeColor="text1"/>
                <w:sz w:val="24"/>
                <w:szCs w:val="24"/>
                <w:lang w:eastAsia="ko-KR"/>
              </w:rPr>
            </w:pPr>
            <w:r w:rsidRPr="009E1FA5">
              <w:rPr>
                <w:b/>
                <w:color w:val="000000"/>
                <w:sz w:val="24"/>
                <w:lang w:eastAsia="ko-KR"/>
              </w:rPr>
              <w:t>RESRAD-RECYCLE</w:t>
            </w:r>
          </w:p>
        </w:tc>
        <w:tc>
          <w:tcPr>
            <w:tcW w:w="2593" w:type="dxa"/>
            <w:tcBorders>
              <w:top w:val="single" w:sz="12" w:space="0" w:color="auto"/>
              <w:bottom w:val="double" w:sz="4" w:space="0" w:color="auto"/>
            </w:tcBorders>
            <w:vAlign w:val="center"/>
          </w:tcPr>
          <w:p w14:paraId="227C96DA" w14:textId="56812C20" w:rsidR="001F025A" w:rsidRPr="009E1FA5" w:rsidRDefault="001F025A" w:rsidP="001F025A">
            <w:pPr>
              <w:spacing w:after="0" w:line="240" w:lineRule="auto"/>
              <w:jc w:val="center"/>
              <w:rPr>
                <w:b/>
                <w:color w:val="000000"/>
                <w:sz w:val="24"/>
                <w:lang w:eastAsia="ko-KR"/>
              </w:rPr>
            </w:pPr>
            <w:proofErr w:type="spellStart"/>
            <w:r w:rsidRPr="009E1FA5">
              <w:rPr>
                <w:b/>
                <w:color w:val="000000"/>
                <w:sz w:val="24"/>
                <w:lang w:eastAsia="ko-KR"/>
              </w:rPr>
              <w:t>MicroShield</w:t>
            </w:r>
            <w:proofErr w:type="spellEnd"/>
            <w:r w:rsidRPr="009E1FA5">
              <w:rPr>
                <w:rFonts w:hint="eastAsia"/>
                <w:b/>
                <w:color w:val="000000"/>
                <w:sz w:val="24"/>
                <w:vertAlign w:val="superscript"/>
                <w:lang w:eastAsia="ko-KR"/>
              </w:rPr>
              <w:t>®</w:t>
            </w:r>
          </w:p>
        </w:tc>
      </w:tr>
      <w:tr w:rsidR="00411F6B" w:rsidRPr="00721786" w14:paraId="12AFA056" w14:textId="6050B48F" w:rsidTr="00DF36B2">
        <w:trPr>
          <w:trHeight w:val="637"/>
          <w:jc w:val="center"/>
        </w:trPr>
        <w:tc>
          <w:tcPr>
            <w:tcW w:w="2324" w:type="dxa"/>
            <w:tcBorders>
              <w:top w:val="double" w:sz="4" w:space="0" w:color="auto"/>
            </w:tcBorders>
            <w:vAlign w:val="center"/>
          </w:tcPr>
          <w:p w14:paraId="50A07018" w14:textId="6A1EF750" w:rsidR="00411F6B" w:rsidRPr="004553E0" w:rsidRDefault="006844E5" w:rsidP="00411F6B">
            <w:pPr>
              <w:spacing w:after="0" w:line="240" w:lineRule="auto"/>
              <w:jc w:val="center"/>
              <w:rPr>
                <w:bCs/>
                <w:color w:val="000000" w:themeColor="text1"/>
                <w:sz w:val="24"/>
                <w:szCs w:val="24"/>
                <w:lang w:eastAsia="ko-KR"/>
              </w:rPr>
            </w:pPr>
            <w:r w:rsidRPr="004553E0">
              <w:rPr>
                <w:bCs/>
                <w:color w:val="000000" w:themeColor="text1"/>
                <w:sz w:val="24"/>
                <w:szCs w:val="24"/>
                <w:lang w:eastAsia="ko-KR"/>
              </w:rPr>
              <w:t>Development &amp; Updates</w:t>
            </w:r>
          </w:p>
        </w:tc>
        <w:tc>
          <w:tcPr>
            <w:tcW w:w="2742" w:type="dxa"/>
            <w:tcBorders>
              <w:top w:val="double" w:sz="4" w:space="0" w:color="auto"/>
            </w:tcBorders>
            <w:vAlign w:val="center"/>
          </w:tcPr>
          <w:p w14:paraId="35F9385D" w14:textId="574D6A31" w:rsidR="00411F6B" w:rsidRPr="004553E0" w:rsidRDefault="006844E5" w:rsidP="009E1FA5">
            <w:pPr>
              <w:spacing w:after="0" w:line="240" w:lineRule="auto"/>
              <w:jc w:val="center"/>
              <w:rPr>
                <w:bCs/>
                <w:color w:val="000000" w:themeColor="text1"/>
                <w:sz w:val="24"/>
                <w:szCs w:val="24"/>
                <w:lang w:eastAsia="ko-KR"/>
              </w:rPr>
            </w:pPr>
            <w:r w:rsidRPr="004553E0">
              <w:rPr>
                <w:bCs/>
                <w:color w:val="000000" w:themeColor="text1"/>
                <w:sz w:val="24"/>
                <w:szCs w:val="24"/>
                <w:lang w:eastAsia="ko-KR"/>
              </w:rPr>
              <w:t>Under Development</w:t>
            </w:r>
            <w:r w:rsidRPr="004553E0">
              <w:rPr>
                <w:bCs/>
                <w:color w:val="000000" w:themeColor="text1"/>
                <w:sz w:val="24"/>
                <w:szCs w:val="24"/>
                <w:lang w:eastAsia="ko-KR"/>
              </w:rPr>
              <w:br/>
              <w:t>(in progress code)</w:t>
            </w:r>
          </w:p>
        </w:tc>
        <w:tc>
          <w:tcPr>
            <w:tcW w:w="2744" w:type="dxa"/>
            <w:tcBorders>
              <w:top w:val="double" w:sz="4" w:space="0" w:color="auto"/>
            </w:tcBorders>
            <w:vAlign w:val="center"/>
          </w:tcPr>
          <w:p w14:paraId="119597D8" w14:textId="77777777" w:rsidR="009E1FA5" w:rsidRDefault="006844E5" w:rsidP="009E1FA5">
            <w:pPr>
              <w:spacing w:after="0" w:line="240" w:lineRule="auto"/>
              <w:jc w:val="center"/>
              <w:rPr>
                <w:bCs/>
                <w:color w:val="000000" w:themeColor="text1"/>
                <w:sz w:val="24"/>
                <w:szCs w:val="24"/>
                <w:lang w:eastAsia="ko-KR"/>
              </w:rPr>
            </w:pPr>
            <w:r w:rsidRPr="004553E0">
              <w:rPr>
                <w:bCs/>
                <w:color w:val="000000" w:themeColor="text1"/>
                <w:sz w:val="24"/>
                <w:szCs w:val="24"/>
                <w:lang w:eastAsia="ko-KR"/>
              </w:rPr>
              <w:t xml:space="preserve">Last updated in </w:t>
            </w:r>
            <w:proofErr w:type="gramStart"/>
            <w:r w:rsidRPr="004553E0">
              <w:rPr>
                <w:bCs/>
                <w:color w:val="000000" w:themeColor="text1"/>
                <w:sz w:val="24"/>
                <w:szCs w:val="24"/>
                <w:lang w:eastAsia="ko-KR"/>
              </w:rPr>
              <w:t>2005;</w:t>
            </w:r>
            <w:proofErr w:type="gramEnd"/>
            <w:r w:rsidRPr="004553E0">
              <w:rPr>
                <w:bCs/>
                <w:color w:val="000000" w:themeColor="text1"/>
                <w:sz w:val="24"/>
                <w:szCs w:val="24"/>
                <w:lang w:eastAsia="ko-KR"/>
              </w:rPr>
              <w:t xml:space="preserve"> </w:t>
            </w:r>
          </w:p>
          <w:p w14:paraId="34F413FD" w14:textId="511C0676" w:rsidR="00411F6B" w:rsidRPr="006844E5" w:rsidRDefault="006930EC" w:rsidP="009E1FA5">
            <w:pPr>
              <w:spacing w:after="0" w:line="240" w:lineRule="auto"/>
              <w:jc w:val="center"/>
              <w:rPr>
                <w:rFonts w:hint="eastAsia"/>
                <w:bCs/>
                <w:color w:val="000000" w:themeColor="text1"/>
                <w:sz w:val="24"/>
                <w:szCs w:val="24"/>
                <w:lang w:eastAsia="ko-KR"/>
              </w:rPr>
            </w:pPr>
            <w:r>
              <w:rPr>
                <w:rFonts w:hint="eastAsia"/>
                <w:bCs/>
                <w:color w:val="000000" w:themeColor="text1"/>
                <w:sz w:val="24"/>
                <w:szCs w:val="24"/>
                <w:lang w:eastAsia="ko-KR"/>
              </w:rPr>
              <w:t>(</w:t>
            </w:r>
            <w:r w:rsidR="006844E5" w:rsidRPr="004553E0">
              <w:rPr>
                <w:bCs/>
                <w:color w:val="000000" w:themeColor="text1"/>
                <w:sz w:val="24"/>
                <w:szCs w:val="24"/>
                <w:lang w:eastAsia="ko-KR"/>
              </w:rPr>
              <w:t>no official download available</w:t>
            </w:r>
            <w:r>
              <w:rPr>
                <w:rFonts w:hint="eastAsia"/>
                <w:bCs/>
                <w:color w:val="000000" w:themeColor="text1"/>
                <w:sz w:val="24"/>
                <w:szCs w:val="24"/>
                <w:lang w:eastAsia="ko-KR"/>
              </w:rPr>
              <w:t>)</w:t>
            </w:r>
          </w:p>
        </w:tc>
        <w:tc>
          <w:tcPr>
            <w:tcW w:w="2593" w:type="dxa"/>
            <w:tcBorders>
              <w:top w:val="double" w:sz="4" w:space="0" w:color="auto"/>
            </w:tcBorders>
            <w:vAlign w:val="center"/>
          </w:tcPr>
          <w:p w14:paraId="132BB3F5" w14:textId="71F51E07" w:rsidR="00411F6B" w:rsidRPr="004553E0" w:rsidRDefault="006844E5" w:rsidP="009E1FA5">
            <w:pPr>
              <w:spacing w:after="0" w:line="240" w:lineRule="auto"/>
              <w:jc w:val="center"/>
              <w:rPr>
                <w:bCs/>
                <w:color w:val="000000" w:themeColor="text1"/>
                <w:sz w:val="24"/>
                <w:szCs w:val="24"/>
              </w:rPr>
            </w:pPr>
            <w:r w:rsidRPr="004553E0">
              <w:rPr>
                <w:bCs/>
                <w:color w:val="000000" w:themeColor="text1"/>
                <w:sz w:val="24"/>
                <w:szCs w:val="24"/>
                <w:lang w:eastAsia="ko-KR"/>
              </w:rPr>
              <w:t>Periodically updated</w:t>
            </w:r>
          </w:p>
        </w:tc>
      </w:tr>
      <w:tr w:rsidR="00411F6B" w:rsidRPr="00721786" w14:paraId="2E22C4FA" w14:textId="4B398CA6" w:rsidTr="00DF36B2">
        <w:trPr>
          <w:trHeight w:val="637"/>
          <w:jc w:val="center"/>
        </w:trPr>
        <w:tc>
          <w:tcPr>
            <w:tcW w:w="2324" w:type="dxa"/>
            <w:vAlign w:val="center"/>
          </w:tcPr>
          <w:p w14:paraId="76A6CB65" w14:textId="18415DED" w:rsidR="00411F6B" w:rsidRPr="004553E0" w:rsidRDefault="00E71271" w:rsidP="00411F6B">
            <w:pPr>
              <w:spacing w:after="0" w:line="240" w:lineRule="auto"/>
              <w:jc w:val="center"/>
              <w:rPr>
                <w:bCs/>
                <w:color w:val="000000" w:themeColor="text1"/>
                <w:sz w:val="24"/>
                <w:szCs w:val="24"/>
                <w:lang w:eastAsia="ko-KR"/>
              </w:rPr>
            </w:pPr>
            <w:r>
              <w:rPr>
                <w:rFonts w:hint="eastAsia"/>
                <w:bCs/>
                <w:color w:val="000000" w:themeColor="text1"/>
                <w:sz w:val="24"/>
                <w:szCs w:val="24"/>
                <w:lang w:eastAsia="ko-KR"/>
              </w:rPr>
              <w:t xml:space="preserve">Dose </w:t>
            </w:r>
            <w:r w:rsidR="006844E5">
              <w:rPr>
                <w:rFonts w:hint="eastAsia"/>
                <w:bCs/>
                <w:color w:val="000000" w:themeColor="text1"/>
                <w:sz w:val="24"/>
                <w:szCs w:val="24"/>
                <w:lang w:eastAsia="ko-KR"/>
              </w:rPr>
              <w:t>Analysis Approach</w:t>
            </w:r>
          </w:p>
        </w:tc>
        <w:tc>
          <w:tcPr>
            <w:tcW w:w="2742" w:type="dxa"/>
            <w:vAlign w:val="center"/>
          </w:tcPr>
          <w:p w14:paraId="24C56A93" w14:textId="6235E74B" w:rsidR="00411F6B" w:rsidRPr="007540FD" w:rsidRDefault="00E71271" w:rsidP="009E1FA5">
            <w:pPr>
              <w:spacing w:after="0" w:line="240" w:lineRule="auto"/>
              <w:jc w:val="center"/>
              <w:rPr>
                <w:bCs/>
                <w:color w:val="000000" w:themeColor="text1"/>
                <w:sz w:val="24"/>
                <w:szCs w:val="24"/>
                <w:lang w:eastAsia="ko-KR"/>
              </w:rPr>
            </w:pPr>
            <w:r>
              <w:rPr>
                <w:rFonts w:hint="eastAsia"/>
                <w:bCs/>
                <w:color w:val="000000" w:themeColor="text1"/>
                <w:sz w:val="24"/>
                <w:szCs w:val="24"/>
                <w:lang w:eastAsia="ko-KR"/>
              </w:rPr>
              <w:t xml:space="preserve">Exposure </w:t>
            </w:r>
            <w:r w:rsidR="00F060AB" w:rsidRPr="007540FD">
              <w:rPr>
                <w:bCs/>
                <w:color w:val="000000" w:themeColor="text1"/>
                <w:sz w:val="24"/>
                <w:szCs w:val="24"/>
                <w:lang w:eastAsia="ko-KR"/>
              </w:rPr>
              <w:t>Scenario Evaluation</w:t>
            </w:r>
          </w:p>
          <w:p w14:paraId="749F41EF" w14:textId="77777777" w:rsidR="009E1FA5" w:rsidRDefault="006844E5"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w:t>
            </w:r>
            <w:r w:rsidR="007C7E1D" w:rsidRPr="006844E5">
              <w:rPr>
                <w:rFonts w:hint="eastAsia"/>
                <w:bCs/>
                <w:color w:val="000000" w:themeColor="text1"/>
                <w:sz w:val="24"/>
                <w:szCs w:val="24"/>
                <w:lang w:eastAsia="ko-KR"/>
              </w:rPr>
              <w:t xml:space="preserve">Single </w:t>
            </w:r>
            <w:r w:rsidR="00E71271">
              <w:rPr>
                <w:rFonts w:hint="eastAsia"/>
                <w:bCs/>
                <w:color w:val="000000" w:themeColor="text1"/>
                <w:sz w:val="24"/>
                <w:szCs w:val="24"/>
                <w:lang w:eastAsia="ko-KR"/>
              </w:rPr>
              <w:t>run</w:t>
            </w:r>
            <w:r w:rsidR="00E71271" w:rsidRPr="006844E5">
              <w:rPr>
                <w:rFonts w:hint="eastAsia"/>
                <w:bCs/>
                <w:color w:val="000000" w:themeColor="text1"/>
                <w:sz w:val="24"/>
                <w:szCs w:val="24"/>
                <w:lang w:eastAsia="ko-KR"/>
              </w:rPr>
              <w:t xml:space="preserve"> </w:t>
            </w:r>
            <w:r w:rsidR="00A45100" w:rsidRPr="006844E5">
              <w:rPr>
                <w:rFonts w:hint="eastAsia"/>
                <w:bCs/>
                <w:color w:val="000000" w:themeColor="text1"/>
                <w:sz w:val="24"/>
                <w:szCs w:val="24"/>
                <w:lang w:eastAsia="ko-KR"/>
              </w:rPr>
              <w:t xml:space="preserve">for </w:t>
            </w:r>
          </w:p>
          <w:p w14:paraId="77D5DED2" w14:textId="674F9F4D" w:rsidR="007C7E1D" w:rsidRPr="006844E5" w:rsidRDefault="00A45100"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bu</w:t>
            </w:r>
            <w:r w:rsidR="00E21505" w:rsidRPr="006844E5">
              <w:rPr>
                <w:rFonts w:hint="eastAsia"/>
                <w:bCs/>
                <w:color w:val="000000" w:themeColor="text1"/>
                <w:sz w:val="24"/>
                <w:szCs w:val="24"/>
                <w:lang w:eastAsia="ko-KR"/>
              </w:rPr>
              <w:t>il</w:t>
            </w:r>
            <w:r w:rsidRPr="006844E5">
              <w:rPr>
                <w:rFonts w:hint="eastAsia"/>
                <w:bCs/>
                <w:color w:val="000000" w:themeColor="text1"/>
                <w:sz w:val="24"/>
                <w:szCs w:val="24"/>
                <w:lang w:eastAsia="ko-KR"/>
              </w:rPr>
              <w:t>t-in scenarios</w:t>
            </w:r>
            <w:r w:rsidR="006844E5" w:rsidRPr="006844E5">
              <w:rPr>
                <w:rFonts w:hint="eastAsia"/>
                <w:bCs/>
                <w:color w:val="000000" w:themeColor="text1"/>
                <w:sz w:val="24"/>
                <w:szCs w:val="24"/>
                <w:lang w:eastAsia="ko-KR"/>
              </w:rPr>
              <w:t>)</w:t>
            </w:r>
          </w:p>
        </w:tc>
        <w:tc>
          <w:tcPr>
            <w:tcW w:w="2744" w:type="dxa"/>
            <w:vAlign w:val="center"/>
          </w:tcPr>
          <w:p w14:paraId="2ADD899E" w14:textId="77777777" w:rsidR="00E71271" w:rsidRPr="0017271B" w:rsidRDefault="00E71271" w:rsidP="009E1FA5">
            <w:pPr>
              <w:spacing w:after="0" w:line="240" w:lineRule="auto"/>
              <w:jc w:val="center"/>
              <w:rPr>
                <w:bCs/>
                <w:color w:val="000000" w:themeColor="text1"/>
                <w:sz w:val="24"/>
                <w:szCs w:val="24"/>
                <w:lang w:eastAsia="ko-KR"/>
              </w:rPr>
            </w:pPr>
            <w:r>
              <w:rPr>
                <w:rFonts w:hint="eastAsia"/>
                <w:bCs/>
                <w:color w:val="000000" w:themeColor="text1"/>
                <w:sz w:val="24"/>
                <w:szCs w:val="24"/>
                <w:lang w:eastAsia="ko-KR"/>
              </w:rPr>
              <w:t xml:space="preserve">Exposure </w:t>
            </w:r>
            <w:r w:rsidRPr="0017271B">
              <w:rPr>
                <w:rFonts w:hint="eastAsia"/>
                <w:bCs/>
                <w:color w:val="000000" w:themeColor="text1"/>
                <w:sz w:val="24"/>
                <w:szCs w:val="24"/>
                <w:lang w:eastAsia="ko-KR"/>
              </w:rPr>
              <w:t>Scenario Evaluation</w:t>
            </w:r>
          </w:p>
          <w:p w14:paraId="00513A17" w14:textId="77777777" w:rsidR="009E1FA5" w:rsidRDefault="00E71271"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 xml:space="preserve">(Single </w:t>
            </w:r>
            <w:r>
              <w:rPr>
                <w:rFonts w:hint="eastAsia"/>
                <w:bCs/>
                <w:color w:val="000000" w:themeColor="text1"/>
                <w:sz w:val="24"/>
                <w:szCs w:val="24"/>
                <w:lang w:eastAsia="ko-KR"/>
              </w:rPr>
              <w:t>run</w:t>
            </w:r>
            <w:r w:rsidRPr="006844E5">
              <w:rPr>
                <w:rFonts w:hint="eastAsia"/>
                <w:bCs/>
                <w:color w:val="000000" w:themeColor="text1"/>
                <w:sz w:val="24"/>
                <w:szCs w:val="24"/>
                <w:lang w:eastAsia="ko-KR"/>
              </w:rPr>
              <w:t xml:space="preserve"> for </w:t>
            </w:r>
          </w:p>
          <w:p w14:paraId="62D20550" w14:textId="5AF4E710" w:rsidR="00A45100" w:rsidRPr="006844E5" w:rsidRDefault="00E71271"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built-in scenarios)</w:t>
            </w:r>
          </w:p>
        </w:tc>
        <w:tc>
          <w:tcPr>
            <w:tcW w:w="2593" w:type="dxa"/>
            <w:vAlign w:val="center"/>
          </w:tcPr>
          <w:p w14:paraId="32B68739" w14:textId="77777777" w:rsidR="009E1FA5" w:rsidRDefault="00F060AB"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Object</w:t>
            </w:r>
            <w:r w:rsidR="00E71271">
              <w:rPr>
                <w:rFonts w:hint="eastAsia"/>
                <w:bCs/>
                <w:color w:val="000000" w:themeColor="text1"/>
                <w:sz w:val="24"/>
                <w:szCs w:val="24"/>
                <w:lang w:eastAsia="ko-KR"/>
              </w:rPr>
              <w:t xml:space="preserve">-based </w:t>
            </w:r>
          </w:p>
          <w:p w14:paraId="281086DC" w14:textId="64232104" w:rsidR="00411F6B" w:rsidRPr="007540FD" w:rsidRDefault="00F060AB"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Evaluation</w:t>
            </w:r>
          </w:p>
          <w:p w14:paraId="79D587D4" w14:textId="08A40D25" w:rsidR="00A45100" w:rsidRPr="006844E5" w:rsidRDefault="006844E5"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w:t>
            </w:r>
            <w:r w:rsidR="009F5B92" w:rsidRPr="006844E5">
              <w:rPr>
                <w:rFonts w:hint="eastAsia"/>
                <w:bCs/>
                <w:color w:val="000000" w:themeColor="text1"/>
                <w:sz w:val="24"/>
                <w:szCs w:val="24"/>
                <w:lang w:eastAsia="ko-KR"/>
              </w:rPr>
              <w:t>Multiple</w:t>
            </w:r>
            <w:r w:rsidR="00A25136" w:rsidRPr="006844E5">
              <w:rPr>
                <w:rFonts w:hint="eastAsia"/>
                <w:bCs/>
                <w:color w:val="000000" w:themeColor="text1"/>
                <w:sz w:val="24"/>
                <w:szCs w:val="24"/>
                <w:lang w:eastAsia="ko-KR"/>
              </w:rPr>
              <w:t xml:space="preserve"> calculation</w:t>
            </w:r>
            <w:r w:rsidR="00E71271">
              <w:rPr>
                <w:rFonts w:hint="eastAsia"/>
                <w:bCs/>
                <w:color w:val="000000" w:themeColor="text1"/>
                <w:sz w:val="24"/>
                <w:szCs w:val="24"/>
                <w:lang w:eastAsia="ko-KR"/>
              </w:rPr>
              <w:t>s</w:t>
            </w:r>
            <w:r w:rsidR="00A25136" w:rsidRPr="006844E5">
              <w:rPr>
                <w:rFonts w:hint="eastAsia"/>
                <w:bCs/>
                <w:color w:val="000000" w:themeColor="text1"/>
                <w:sz w:val="24"/>
                <w:szCs w:val="24"/>
                <w:lang w:eastAsia="ko-KR"/>
              </w:rPr>
              <w:t xml:space="preserve"> for </w:t>
            </w:r>
            <w:r w:rsidR="00E71271">
              <w:rPr>
                <w:rFonts w:hint="eastAsia"/>
                <w:bCs/>
                <w:color w:val="000000" w:themeColor="text1"/>
                <w:sz w:val="24"/>
                <w:szCs w:val="24"/>
                <w:lang w:eastAsia="ko-KR"/>
              </w:rPr>
              <w:t>custom geometry</w:t>
            </w:r>
            <w:r w:rsidRPr="006844E5">
              <w:rPr>
                <w:rFonts w:hint="eastAsia"/>
                <w:bCs/>
                <w:color w:val="000000" w:themeColor="text1"/>
                <w:sz w:val="24"/>
                <w:szCs w:val="24"/>
                <w:lang w:eastAsia="ko-KR"/>
              </w:rPr>
              <w:t>)</w:t>
            </w:r>
          </w:p>
        </w:tc>
      </w:tr>
      <w:tr w:rsidR="00411F6B" w:rsidRPr="00721786" w14:paraId="6053BE75" w14:textId="1B381B78" w:rsidTr="00DF36B2">
        <w:trPr>
          <w:trHeight w:val="637"/>
          <w:jc w:val="center"/>
        </w:trPr>
        <w:tc>
          <w:tcPr>
            <w:tcW w:w="2324" w:type="dxa"/>
            <w:vAlign w:val="center"/>
          </w:tcPr>
          <w:p w14:paraId="06EB686A" w14:textId="2AA94533" w:rsidR="00411F6B" w:rsidRPr="007540FD" w:rsidRDefault="00F060AB" w:rsidP="00411F6B">
            <w:pPr>
              <w:spacing w:after="0" w:line="240" w:lineRule="auto"/>
              <w:jc w:val="center"/>
              <w:rPr>
                <w:bCs/>
                <w:color w:val="000000" w:themeColor="text1"/>
                <w:sz w:val="24"/>
                <w:szCs w:val="24"/>
                <w:lang w:eastAsia="ko-KR"/>
              </w:rPr>
            </w:pPr>
            <w:r w:rsidRPr="007540FD">
              <w:rPr>
                <w:bCs/>
                <w:color w:val="000000" w:themeColor="text1"/>
                <w:sz w:val="24"/>
                <w:szCs w:val="24"/>
                <w:lang w:eastAsia="ko-KR"/>
              </w:rPr>
              <w:t>External Dose Assessment</w:t>
            </w:r>
          </w:p>
        </w:tc>
        <w:tc>
          <w:tcPr>
            <w:tcW w:w="2742" w:type="dxa"/>
            <w:vAlign w:val="center"/>
          </w:tcPr>
          <w:p w14:paraId="101169D3" w14:textId="0DA8EB13" w:rsidR="002412A3" w:rsidRPr="006844E5" w:rsidRDefault="002412A3"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Point-</w:t>
            </w:r>
            <w:r w:rsidR="00080A76" w:rsidRPr="006844E5">
              <w:rPr>
                <w:rFonts w:hint="eastAsia"/>
                <w:bCs/>
                <w:color w:val="000000" w:themeColor="text1"/>
                <w:sz w:val="24"/>
                <w:szCs w:val="24"/>
                <w:lang w:eastAsia="ko-KR"/>
              </w:rPr>
              <w:t>k</w:t>
            </w:r>
            <w:r w:rsidRPr="006844E5">
              <w:rPr>
                <w:rFonts w:hint="eastAsia"/>
                <w:bCs/>
                <w:color w:val="000000" w:themeColor="text1"/>
                <w:sz w:val="24"/>
                <w:szCs w:val="24"/>
                <w:lang w:eastAsia="ko-KR"/>
              </w:rPr>
              <w:t xml:space="preserve">ernel </w:t>
            </w:r>
            <w:r w:rsidR="00080A76" w:rsidRPr="006844E5">
              <w:rPr>
                <w:rFonts w:hint="eastAsia"/>
                <w:bCs/>
                <w:color w:val="000000" w:themeColor="text1"/>
                <w:sz w:val="24"/>
                <w:szCs w:val="24"/>
                <w:lang w:eastAsia="ko-KR"/>
              </w:rPr>
              <w:t>m</w:t>
            </w:r>
            <w:r w:rsidRPr="006844E5">
              <w:rPr>
                <w:rFonts w:hint="eastAsia"/>
                <w:bCs/>
                <w:color w:val="000000" w:themeColor="text1"/>
                <w:sz w:val="24"/>
                <w:szCs w:val="24"/>
                <w:lang w:eastAsia="ko-KR"/>
              </w:rPr>
              <w:t>ethod</w:t>
            </w:r>
          </w:p>
        </w:tc>
        <w:tc>
          <w:tcPr>
            <w:tcW w:w="2744" w:type="dxa"/>
            <w:vAlign w:val="center"/>
          </w:tcPr>
          <w:p w14:paraId="071589CA" w14:textId="5819CD28" w:rsidR="002412A3" w:rsidRPr="006844E5" w:rsidRDefault="000134B2"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 xml:space="preserve">DCF </w:t>
            </w:r>
            <w:r w:rsidR="00080A76" w:rsidRPr="006844E5">
              <w:rPr>
                <w:rFonts w:hint="eastAsia"/>
                <w:bCs/>
                <w:color w:val="000000" w:themeColor="text1"/>
                <w:sz w:val="24"/>
                <w:szCs w:val="24"/>
                <w:lang w:eastAsia="ko-KR"/>
              </w:rPr>
              <w:t>f</w:t>
            </w:r>
            <w:r w:rsidR="002412A3" w:rsidRPr="006844E5">
              <w:rPr>
                <w:rFonts w:hint="eastAsia"/>
                <w:bCs/>
                <w:color w:val="000000" w:themeColor="text1"/>
                <w:sz w:val="24"/>
                <w:szCs w:val="24"/>
                <w:lang w:eastAsia="ko-KR"/>
              </w:rPr>
              <w:t xml:space="preserve">itting </w:t>
            </w:r>
            <w:r w:rsidR="00080A76" w:rsidRPr="006844E5">
              <w:rPr>
                <w:rFonts w:hint="eastAsia"/>
                <w:bCs/>
                <w:color w:val="000000" w:themeColor="text1"/>
                <w:sz w:val="24"/>
                <w:szCs w:val="24"/>
                <w:lang w:eastAsia="ko-KR"/>
              </w:rPr>
              <w:t>a</w:t>
            </w:r>
            <w:r w:rsidR="002412A3" w:rsidRPr="006844E5">
              <w:rPr>
                <w:rFonts w:hint="eastAsia"/>
                <w:bCs/>
                <w:color w:val="000000" w:themeColor="text1"/>
                <w:sz w:val="24"/>
                <w:szCs w:val="24"/>
                <w:lang w:eastAsia="ko-KR"/>
              </w:rPr>
              <w:t>pproach</w:t>
            </w:r>
          </w:p>
        </w:tc>
        <w:tc>
          <w:tcPr>
            <w:tcW w:w="2593" w:type="dxa"/>
            <w:vAlign w:val="center"/>
          </w:tcPr>
          <w:p w14:paraId="52828051" w14:textId="474448B9" w:rsidR="002412A3" w:rsidRPr="006844E5" w:rsidRDefault="002412A3" w:rsidP="009E1FA5">
            <w:pPr>
              <w:spacing w:after="0" w:line="240" w:lineRule="auto"/>
              <w:jc w:val="center"/>
              <w:rPr>
                <w:bCs/>
                <w:color w:val="000000" w:themeColor="text1"/>
                <w:sz w:val="24"/>
                <w:szCs w:val="24"/>
                <w:lang w:eastAsia="ko-KR"/>
              </w:rPr>
            </w:pPr>
            <w:r w:rsidRPr="006844E5">
              <w:rPr>
                <w:rFonts w:hint="eastAsia"/>
                <w:bCs/>
                <w:color w:val="000000" w:themeColor="text1"/>
                <w:sz w:val="24"/>
                <w:szCs w:val="24"/>
                <w:lang w:eastAsia="ko-KR"/>
              </w:rPr>
              <w:t>Point-</w:t>
            </w:r>
            <w:r w:rsidR="00080A76" w:rsidRPr="006844E5">
              <w:rPr>
                <w:rFonts w:hint="eastAsia"/>
                <w:bCs/>
                <w:color w:val="000000" w:themeColor="text1"/>
                <w:sz w:val="24"/>
                <w:szCs w:val="24"/>
                <w:lang w:eastAsia="ko-KR"/>
              </w:rPr>
              <w:t>k</w:t>
            </w:r>
            <w:r w:rsidRPr="006844E5">
              <w:rPr>
                <w:rFonts w:hint="eastAsia"/>
                <w:bCs/>
                <w:color w:val="000000" w:themeColor="text1"/>
                <w:sz w:val="24"/>
                <w:szCs w:val="24"/>
                <w:lang w:eastAsia="ko-KR"/>
              </w:rPr>
              <w:t xml:space="preserve">ernel </w:t>
            </w:r>
            <w:r w:rsidR="00080A76" w:rsidRPr="006844E5">
              <w:rPr>
                <w:rFonts w:hint="eastAsia"/>
                <w:bCs/>
                <w:color w:val="000000" w:themeColor="text1"/>
                <w:sz w:val="24"/>
                <w:szCs w:val="24"/>
                <w:lang w:eastAsia="ko-KR"/>
              </w:rPr>
              <w:t>m</w:t>
            </w:r>
            <w:r w:rsidRPr="006844E5">
              <w:rPr>
                <w:rFonts w:hint="eastAsia"/>
                <w:bCs/>
                <w:color w:val="000000" w:themeColor="text1"/>
                <w:sz w:val="24"/>
                <w:szCs w:val="24"/>
                <w:lang w:eastAsia="ko-KR"/>
              </w:rPr>
              <w:t>ethod</w:t>
            </w:r>
          </w:p>
        </w:tc>
      </w:tr>
      <w:tr w:rsidR="007A00D3" w:rsidRPr="00721786" w14:paraId="749C8E42" w14:textId="08FF281D" w:rsidTr="00DF36B2">
        <w:trPr>
          <w:trHeight w:val="637"/>
          <w:jc w:val="center"/>
        </w:trPr>
        <w:tc>
          <w:tcPr>
            <w:tcW w:w="2324" w:type="dxa"/>
            <w:vAlign w:val="center"/>
          </w:tcPr>
          <w:p w14:paraId="07BE7190" w14:textId="0BBEF98A" w:rsidR="007A00D3" w:rsidRPr="007540FD" w:rsidRDefault="007A00D3" w:rsidP="007A00D3">
            <w:pPr>
              <w:spacing w:after="0" w:line="240" w:lineRule="auto"/>
              <w:jc w:val="center"/>
              <w:rPr>
                <w:bCs/>
                <w:color w:val="000000" w:themeColor="text1"/>
                <w:sz w:val="24"/>
                <w:szCs w:val="24"/>
                <w:lang w:eastAsia="ko-KR"/>
              </w:rPr>
            </w:pPr>
            <w:r w:rsidRPr="007540FD">
              <w:rPr>
                <w:bCs/>
                <w:color w:val="000000" w:themeColor="text1"/>
                <w:sz w:val="24"/>
                <w:szCs w:val="24"/>
                <w:lang w:eastAsia="ko-KR"/>
              </w:rPr>
              <w:t>Source Geometry</w:t>
            </w:r>
          </w:p>
        </w:tc>
        <w:tc>
          <w:tcPr>
            <w:tcW w:w="2742" w:type="dxa"/>
            <w:vAlign w:val="center"/>
          </w:tcPr>
          <w:p w14:paraId="301759BC" w14:textId="2AF33F6B" w:rsidR="007A00D3" w:rsidRPr="007540FD" w:rsidRDefault="007A00D3" w:rsidP="009E1FA5">
            <w:pPr>
              <w:spacing w:after="0" w:line="240" w:lineRule="auto"/>
              <w:jc w:val="center"/>
              <w:rPr>
                <w:bCs/>
                <w:color w:val="000000" w:themeColor="text1"/>
                <w:sz w:val="24"/>
                <w:szCs w:val="24"/>
              </w:rPr>
            </w:pPr>
            <w:r w:rsidRPr="007540FD">
              <w:rPr>
                <w:bCs/>
                <w:color w:val="000000" w:themeColor="text1"/>
                <w:sz w:val="24"/>
                <w:szCs w:val="24"/>
                <w:lang w:eastAsia="ko-KR"/>
              </w:rPr>
              <w:t>Various Geometries</w:t>
            </w:r>
          </w:p>
        </w:tc>
        <w:tc>
          <w:tcPr>
            <w:tcW w:w="2744" w:type="dxa"/>
            <w:vAlign w:val="center"/>
          </w:tcPr>
          <w:p w14:paraId="0ADA5286" w14:textId="5EE980F3" w:rsidR="007A00D3" w:rsidRPr="007540FD" w:rsidRDefault="007A00D3"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Cylindrical Geometries</w:t>
            </w:r>
          </w:p>
        </w:tc>
        <w:tc>
          <w:tcPr>
            <w:tcW w:w="2593" w:type="dxa"/>
            <w:vAlign w:val="center"/>
          </w:tcPr>
          <w:p w14:paraId="3FB29656" w14:textId="48BDEEA8" w:rsidR="007A00D3" w:rsidRPr="007540FD" w:rsidRDefault="007A00D3"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Various Geometries</w:t>
            </w:r>
          </w:p>
        </w:tc>
      </w:tr>
      <w:tr w:rsidR="00597FDC" w:rsidRPr="00721786" w14:paraId="74F5C577" w14:textId="77777777" w:rsidTr="00DF36B2">
        <w:trPr>
          <w:trHeight w:val="637"/>
          <w:jc w:val="center"/>
        </w:trPr>
        <w:tc>
          <w:tcPr>
            <w:tcW w:w="2324" w:type="dxa"/>
            <w:vAlign w:val="center"/>
          </w:tcPr>
          <w:p w14:paraId="7ED2E185" w14:textId="77777777" w:rsidR="00597FDC" w:rsidRPr="007540FD" w:rsidRDefault="00DF6C80" w:rsidP="007A00D3">
            <w:pPr>
              <w:spacing w:after="0" w:line="240" w:lineRule="auto"/>
              <w:jc w:val="center"/>
              <w:rPr>
                <w:bCs/>
                <w:color w:val="000000" w:themeColor="text1"/>
                <w:sz w:val="24"/>
                <w:szCs w:val="24"/>
                <w:lang w:eastAsia="ko-KR"/>
              </w:rPr>
            </w:pPr>
            <w:r w:rsidRPr="007540FD">
              <w:rPr>
                <w:bCs/>
                <w:color w:val="000000" w:themeColor="text1"/>
                <w:sz w:val="24"/>
                <w:szCs w:val="24"/>
                <w:lang w:eastAsia="ko-KR"/>
              </w:rPr>
              <w:t>External Dose</w:t>
            </w:r>
          </w:p>
          <w:p w14:paraId="199687D6" w14:textId="6B5CB956" w:rsidR="00DF6C80" w:rsidRPr="007540FD" w:rsidRDefault="00DF6C80" w:rsidP="007A00D3">
            <w:pPr>
              <w:spacing w:after="0" w:line="240" w:lineRule="auto"/>
              <w:jc w:val="center"/>
              <w:rPr>
                <w:bCs/>
                <w:color w:val="000000" w:themeColor="text1"/>
                <w:sz w:val="24"/>
                <w:szCs w:val="24"/>
                <w:lang w:eastAsia="ko-KR"/>
              </w:rPr>
            </w:pPr>
            <w:r w:rsidRPr="007540FD">
              <w:rPr>
                <w:bCs/>
                <w:color w:val="000000" w:themeColor="text1"/>
                <w:sz w:val="24"/>
                <w:szCs w:val="24"/>
                <w:lang w:eastAsia="ko-KR"/>
              </w:rPr>
              <w:t>Acc</w:t>
            </w:r>
            <w:r w:rsidR="007F3A1D" w:rsidRPr="007540FD">
              <w:rPr>
                <w:bCs/>
                <w:color w:val="000000" w:themeColor="text1"/>
                <w:sz w:val="24"/>
                <w:szCs w:val="24"/>
                <w:lang w:eastAsia="ko-KR"/>
              </w:rPr>
              <w:t>u</w:t>
            </w:r>
            <w:r w:rsidRPr="007540FD">
              <w:rPr>
                <w:bCs/>
                <w:color w:val="000000" w:themeColor="text1"/>
                <w:sz w:val="24"/>
                <w:szCs w:val="24"/>
                <w:lang w:eastAsia="ko-KR"/>
              </w:rPr>
              <w:t>racy</w:t>
            </w:r>
          </w:p>
        </w:tc>
        <w:tc>
          <w:tcPr>
            <w:tcW w:w="2742" w:type="dxa"/>
            <w:vAlign w:val="center"/>
          </w:tcPr>
          <w:p w14:paraId="3EE5E533" w14:textId="7898A6E0" w:rsidR="00080A76" w:rsidRPr="006844E5" w:rsidRDefault="00080A76"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Comparable</w:t>
            </w:r>
            <w:r w:rsidR="009E1FA5">
              <w:rPr>
                <w:rFonts w:hint="eastAsia"/>
                <w:bCs/>
                <w:color w:val="000000" w:themeColor="text1"/>
                <w:sz w:val="24"/>
                <w:szCs w:val="24"/>
                <w:lang w:eastAsia="ko-KR"/>
              </w:rPr>
              <w:t xml:space="preserve"> </w:t>
            </w:r>
            <w:r w:rsidRPr="007540FD">
              <w:rPr>
                <w:bCs/>
                <w:color w:val="000000" w:themeColor="text1"/>
                <w:sz w:val="24"/>
                <w:szCs w:val="24"/>
                <w:lang w:eastAsia="ko-KR"/>
              </w:rPr>
              <w:t xml:space="preserve">accuracy to </w:t>
            </w:r>
            <w:proofErr w:type="spellStart"/>
            <w:r w:rsidRPr="007540FD">
              <w:rPr>
                <w:bCs/>
                <w:color w:val="000000" w:themeColor="text1"/>
                <w:sz w:val="24"/>
                <w:szCs w:val="24"/>
                <w:lang w:eastAsia="ko-KR"/>
              </w:rPr>
              <w:t>M</w:t>
            </w:r>
            <w:r w:rsidR="00E71271">
              <w:rPr>
                <w:rFonts w:hint="eastAsia"/>
                <w:bCs/>
                <w:color w:val="000000" w:themeColor="text1"/>
                <w:sz w:val="24"/>
                <w:szCs w:val="24"/>
                <w:lang w:eastAsia="ko-KR"/>
              </w:rPr>
              <w:t>icroShield</w:t>
            </w:r>
            <w:proofErr w:type="spellEnd"/>
            <w:r w:rsidR="00E71271" w:rsidRPr="0017271B">
              <w:rPr>
                <w:rFonts w:hint="eastAsia"/>
                <w:bCs/>
                <w:color w:val="000000"/>
                <w:sz w:val="24"/>
                <w:vertAlign w:val="superscript"/>
                <w:lang w:eastAsia="ko-KR"/>
              </w:rPr>
              <w:t>®</w:t>
            </w:r>
          </w:p>
        </w:tc>
        <w:tc>
          <w:tcPr>
            <w:tcW w:w="2744" w:type="dxa"/>
            <w:vAlign w:val="center"/>
          </w:tcPr>
          <w:p w14:paraId="1496A1CF" w14:textId="01A283EF" w:rsidR="00C05BBA" w:rsidRPr="007540FD" w:rsidRDefault="007F3A1D"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Underestimation</w:t>
            </w:r>
          </w:p>
        </w:tc>
        <w:tc>
          <w:tcPr>
            <w:tcW w:w="2593" w:type="dxa"/>
            <w:vAlign w:val="center"/>
          </w:tcPr>
          <w:p w14:paraId="71CA323A" w14:textId="14EE56B0" w:rsidR="00597FDC" w:rsidRPr="007540FD" w:rsidRDefault="00BF0EC4"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Verified</w:t>
            </w:r>
          </w:p>
        </w:tc>
      </w:tr>
      <w:tr w:rsidR="00411F6B" w:rsidRPr="00721786" w14:paraId="6FD6CDF2" w14:textId="21032DF2" w:rsidTr="00DF36B2">
        <w:trPr>
          <w:trHeight w:val="637"/>
          <w:jc w:val="center"/>
        </w:trPr>
        <w:tc>
          <w:tcPr>
            <w:tcW w:w="2324" w:type="dxa"/>
            <w:vAlign w:val="center"/>
          </w:tcPr>
          <w:p w14:paraId="4182CCCD" w14:textId="77777777" w:rsidR="00C74DC3" w:rsidRPr="007540FD" w:rsidRDefault="000F1298" w:rsidP="00411F6B">
            <w:pPr>
              <w:spacing w:after="0" w:line="240" w:lineRule="auto"/>
              <w:jc w:val="center"/>
              <w:rPr>
                <w:bCs/>
                <w:color w:val="000000" w:themeColor="text1"/>
                <w:sz w:val="24"/>
                <w:szCs w:val="24"/>
                <w:lang w:eastAsia="ko-KR"/>
              </w:rPr>
            </w:pPr>
            <w:r w:rsidRPr="007540FD">
              <w:rPr>
                <w:bCs/>
                <w:color w:val="000000" w:themeColor="text1"/>
                <w:sz w:val="24"/>
                <w:szCs w:val="24"/>
                <w:lang w:eastAsia="ko-KR"/>
              </w:rPr>
              <w:t>Internal Dose</w:t>
            </w:r>
          </w:p>
          <w:p w14:paraId="350A60EE" w14:textId="731A2AB4" w:rsidR="000F1298" w:rsidRPr="007540FD" w:rsidRDefault="000F1298" w:rsidP="00411F6B">
            <w:pPr>
              <w:spacing w:after="0" w:line="240" w:lineRule="auto"/>
              <w:jc w:val="center"/>
              <w:rPr>
                <w:bCs/>
                <w:color w:val="000000" w:themeColor="text1"/>
                <w:sz w:val="24"/>
                <w:szCs w:val="24"/>
                <w:lang w:eastAsia="ko-KR"/>
              </w:rPr>
            </w:pPr>
            <w:r w:rsidRPr="007540FD">
              <w:rPr>
                <w:bCs/>
                <w:color w:val="000000" w:themeColor="text1"/>
                <w:sz w:val="24"/>
                <w:szCs w:val="24"/>
                <w:lang w:eastAsia="ko-KR"/>
              </w:rPr>
              <w:t>Assessment</w:t>
            </w:r>
          </w:p>
        </w:tc>
        <w:tc>
          <w:tcPr>
            <w:tcW w:w="2742" w:type="dxa"/>
            <w:vAlign w:val="center"/>
          </w:tcPr>
          <w:p w14:paraId="6A35541D" w14:textId="29214062" w:rsidR="00411F6B" w:rsidRPr="007540FD" w:rsidRDefault="000F1298"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Supported</w:t>
            </w:r>
          </w:p>
        </w:tc>
        <w:tc>
          <w:tcPr>
            <w:tcW w:w="2744" w:type="dxa"/>
            <w:vAlign w:val="center"/>
          </w:tcPr>
          <w:p w14:paraId="1AE8CB95" w14:textId="78DF9AE5" w:rsidR="00411F6B" w:rsidRPr="007540FD" w:rsidRDefault="000F1298"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Supported</w:t>
            </w:r>
          </w:p>
        </w:tc>
        <w:tc>
          <w:tcPr>
            <w:tcW w:w="2593" w:type="dxa"/>
            <w:vAlign w:val="center"/>
          </w:tcPr>
          <w:p w14:paraId="12066E97" w14:textId="1D340A52" w:rsidR="00411F6B" w:rsidRPr="007540FD" w:rsidRDefault="000F1298"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Not Supported</w:t>
            </w:r>
          </w:p>
        </w:tc>
      </w:tr>
      <w:tr w:rsidR="000F1298" w:rsidRPr="00721786" w14:paraId="49E976CF" w14:textId="77777777" w:rsidTr="00DF36B2">
        <w:trPr>
          <w:trHeight w:val="637"/>
          <w:jc w:val="center"/>
        </w:trPr>
        <w:tc>
          <w:tcPr>
            <w:tcW w:w="2324" w:type="dxa"/>
            <w:vAlign w:val="center"/>
          </w:tcPr>
          <w:p w14:paraId="5B954458" w14:textId="77777777" w:rsidR="000F1298" w:rsidRPr="007540FD" w:rsidRDefault="006E11E5" w:rsidP="00411F6B">
            <w:pPr>
              <w:spacing w:after="0" w:line="240" w:lineRule="auto"/>
              <w:jc w:val="center"/>
              <w:rPr>
                <w:bCs/>
                <w:color w:val="000000" w:themeColor="text1"/>
                <w:sz w:val="24"/>
                <w:szCs w:val="24"/>
                <w:lang w:eastAsia="ko-KR"/>
              </w:rPr>
            </w:pPr>
            <w:r w:rsidRPr="007540FD">
              <w:rPr>
                <w:bCs/>
                <w:color w:val="000000" w:themeColor="text1"/>
                <w:sz w:val="24"/>
                <w:szCs w:val="24"/>
                <w:lang w:eastAsia="ko-KR"/>
              </w:rPr>
              <w:t>Suitab</w:t>
            </w:r>
            <w:r w:rsidR="0008313F" w:rsidRPr="007540FD">
              <w:rPr>
                <w:bCs/>
                <w:color w:val="000000" w:themeColor="text1"/>
                <w:sz w:val="24"/>
                <w:szCs w:val="24"/>
                <w:lang w:eastAsia="ko-KR"/>
              </w:rPr>
              <w:t>ility for</w:t>
            </w:r>
          </w:p>
          <w:p w14:paraId="03661E58" w14:textId="3A9C3DBC" w:rsidR="0008313F" w:rsidRPr="007540FD" w:rsidRDefault="00305E3C" w:rsidP="00411F6B">
            <w:pPr>
              <w:spacing w:after="0" w:line="240" w:lineRule="auto"/>
              <w:jc w:val="center"/>
              <w:rPr>
                <w:bCs/>
                <w:color w:val="000000" w:themeColor="text1"/>
                <w:sz w:val="24"/>
                <w:szCs w:val="24"/>
                <w:lang w:eastAsia="ko-KR"/>
              </w:rPr>
            </w:pPr>
            <w:r w:rsidRPr="007540FD">
              <w:rPr>
                <w:bCs/>
                <w:color w:val="000000" w:themeColor="text1"/>
                <w:sz w:val="24"/>
                <w:szCs w:val="24"/>
                <w:lang w:eastAsia="ko-KR"/>
              </w:rPr>
              <w:t>Waste Recycling</w:t>
            </w:r>
          </w:p>
        </w:tc>
        <w:tc>
          <w:tcPr>
            <w:tcW w:w="2742" w:type="dxa"/>
            <w:vAlign w:val="center"/>
          </w:tcPr>
          <w:p w14:paraId="7FA6D3C8" w14:textId="6CD5A80C" w:rsidR="000F1298" w:rsidRPr="007540FD" w:rsidRDefault="00305E3C"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Highly Suitable</w:t>
            </w:r>
          </w:p>
        </w:tc>
        <w:tc>
          <w:tcPr>
            <w:tcW w:w="2744" w:type="dxa"/>
            <w:vAlign w:val="center"/>
          </w:tcPr>
          <w:p w14:paraId="3E179A3D" w14:textId="04407FA7" w:rsidR="000F1298" w:rsidRPr="007540FD" w:rsidRDefault="00BD2DDB"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Lack of Accuracy</w:t>
            </w:r>
          </w:p>
        </w:tc>
        <w:tc>
          <w:tcPr>
            <w:tcW w:w="2593" w:type="dxa"/>
            <w:vAlign w:val="center"/>
          </w:tcPr>
          <w:p w14:paraId="2A84F64B" w14:textId="6CAB583F" w:rsidR="000F1298" w:rsidRPr="007540FD" w:rsidRDefault="00BD2DDB" w:rsidP="009E1FA5">
            <w:pPr>
              <w:spacing w:after="0" w:line="240" w:lineRule="auto"/>
              <w:jc w:val="center"/>
              <w:rPr>
                <w:bCs/>
                <w:color w:val="000000" w:themeColor="text1"/>
                <w:sz w:val="24"/>
                <w:szCs w:val="24"/>
                <w:lang w:eastAsia="ko-KR"/>
              </w:rPr>
            </w:pPr>
            <w:r w:rsidRPr="007540FD">
              <w:rPr>
                <w:bCs/>
                <w:color w:val="000000" w:themeColor="text1"/>
                <w:sz w:val="24"/>
                <w:szCs w:val="24"/>
                <w:lang w:eastAsia="ko-KR"/>
              </w:rPr>
              <w:t>Lack of Efficiency</w:t>
            </w:r>
          </w:p>
        </w:tc>
      </w:tr>
    </w:tbl>
    <w:p w14:paraId="2F9DC1C7" w14:textId="77777777" w:rsidR="00653221" w:rsidRPr="00D356C1" w:rsidRDefault="00653221" w:rsidP="00910F9D">
      <w:pPr>
        <w:pStyle w:val="af2"/>
        <w:rPr>
          <w:b w:val="0"/>
          <w:bCs/>
          <w:sz w:val="24"/>
          <w:szCs w:val="24"/>
          <w:lang w:eastAsia="ko-KR"/>
        </w:rPr>
      </w:pPr>
    </w:p>
    <w:sectPr w:rsidR="00653221" w:rsidRPr="00D356C1">
      <w:footerReference w:type="default" r:id="rId34"/>
      <w:pgSz w:w="12240" w:h="15840"/>
      <w:pgMar w:top="1440" w:right="1440" w:bottom="1440" w:left="1440" w:header="708" w:footer="708" w:gutter="0"/>
      <w:lnNumType w:countBy="1"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2DFD" w14:textId="77777777" w:rsidR="00E91D52" w:rsidRDefault="00E91D52">
      <w:pPr>
        <w:spacing w:after="0" w:line="240" w:lineRule="auto"/>
      </w:pPr>
      <w:r>
        <w:separator/>
      </w:r>
    </w:p>
  </w:endnote>
  <w:endnote w:type="continuationSeparator" w:id="0">
    <w:p w14:paraId="1D21B1D6" w14:textId="77777777" w:rsidR="00E91D52" w:rsidRDefault="00E91D52">
      <w:pPr>
        <w:spacing w:after="0" w:line="240" w:lineRule="auto"/>
      </w:pPr>
      <w:r>
        <w:continuationSeparator/>
      </w:r>
    </w:p>
  </w:endnote>
  <w:endnote w:type="continuationNotice" w:id="1">
    <w:p w14:paraId="6FE566EC" w14:textId="77777777" w:rsidR="00E91D52" w:rsidRDefault="00E91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51F" w14:textId="0BD2B16D" w:rsidR="001714E8" w:rsidRDefault="000D07EC">
    <w:pPr>
      <w:pStyle w:val="ab"/>
      <w:jc w:val="left"/>
      <w:rPr>
        <w:rFonts w:ascii="Calibri" w:eastAsia="Calibri" w:hAnsi="Calibri" w:cs="Calibri"/>
        <w:sz w:val="22"/>
      </w:rPr>
    </w:pPr>
    <w:r>
      <w:rPr>
        <w:rFonts w:eastAsia="Times New Roman"/>
      </w:rPr>
      <w:fldChar w:fldCharType="begin"/>
    </w:r>
    <w:r>
      <w:instrText>PAGE   \* MERGEFORMAT</w:instrText>
    </w:r>
    <w:r>
      <w:rPr>
        <w:rFonts w:eastAsia="Times New Roman"/>
      </w:rPr>
      <w:fldChar w:fldCharType="separate"/>
    </w:r>
    <w:r w:rsidR="00CF7C84" w:rsidRPr="00CF7C84">
      <w:rPr>
        <w:rFonts w:ascii="Calibri" w:eastAsia="Calibri" w:hAnsi="Calibri" w:cs="Calibri"/>
        <w:noProof/>
        <w:sz w:val="22"/>
      </w:rPr>
      <w:t>32</w:t>
    </w:r>
    <w:r>
      <w:rPr>
        <w:rFonts w:ascii="Calibri" w:eastAsia="Calibri" w:hAnsi="Calibri" w:cs="Calibri"/>
        <w:sz w:val="22"/>
      </w:rPr>
      <w:fldChar w:fldCharType="end"/>
    </w:r>
  </w:p>
  <w:p w14:paraId="3B452520" w14:textId="77777777" w:rsidR="001714E8" w:rsidRDefault="001714E8">
    <w:pPr>
      <w:pStyle w:val="ab"/>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67D3" w14:textId="77777777" w:rsidR="00E91D52" w:rsidRDefault="00E91D52">
      <w:pPr>
        <w:spacing w:after="0" w:line="240" w:lineRule="auto"/>
      </w:pPr>
      <w:r>
        <w:separator/>
      </w:r>
    </w:p>
  </w:footnote>
  <w:footnote w:type="continuationSeparator" w:id="0">
    <w:p w14:paraId="378E39E9" w14:textId="77777777" w:rsidR="00E91D52" w:rsidRDefault="00E91D52">
      <w:pPr>
        <w:spacing w:after="0" w:line="240" w:lineRule="auto"/>
      </w:pPr>
      <w:r>
        <w:continuationSeparator/>
      </w:r>
    </w:p>
  </w:footnote>
  <w:footnote w:type="continuationNotice" w:id="1">
    <w:p w14:paraId="34F022A6" w14:textId="77777777" w:rsidR="00E91D52" w:rsidRDefault="00E91D52">
      <w:pPr>
        <w:spacing w:after="0" w:line="240" w:lineRule="auto"/>
      </w:pPr>
    </w:p>
  </w:footnote>
  <w:footnote w:id="2">
    <w:p w14:paraId="086D149D" w14:textId="6C763537" w:rsidR="001714E8" w:rsidRPr="00512709" w:rsidRDefault="000D07EC" w:rsidP="00512709">
      <w:pPr>
        <w:pStyle w:val="af3"/>
        <w:rPr>
          <w:lang w:val="en-IN"/>
        </w:rPr>
      </w:pPr>
      <w:r w:rsidRPr="00512709">
        <w:rPr>
          <w:i/>
          <w:iCs/>
        </w:rPr>
        <w:t>Abbreviations</w:t>
      </w:r>
      <w:r>
        <w:t>: DCF, dose conversion factor; FO, furnace operator; PK, point-kernel; RUCAS, Recycling-Underlying Computational Dose Assessment Software; RW, refinery worker; SL, smelter loader; SW, scrap yard worker; VLLW, very-low-level waste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EE0"/>
    <w:multiLevelType w:val="hybridMultilevel"/>
    <w:tmpl w:val="0C2A0644"/>
    <w:lvl w:ilvl="0" w:tplc="8DFEF24C">
      <w:start w:val="1"/>
      <w:numFmt w:val="bullet"/>
      <w:suff w:val="space"/>
      <w:lvlText w:val=""/>
      <w:lvlJc w:val="left"/>
      <w:pPr>
        <w:ind w:left="1277" w:hanging="1220"/>
      </w:pPr>
      <w:rPr>
        <w:rFonts w:ascii="Wingdings" w:hAnsi="Wingdings" w:hint="default"/>
      </w:rPr>
    </w:lvl>
    <w:lvl w:ilvl="1" w:tplc="EA02CB70" w:tentative="1">
      <w:start w:val="1"/>
      <w:numFmt w:val="bullet"/>
      <w:lvlText w:val=""/>
      <w:lvlJc w:val="left"/>
      <w:pPr>
        <w:ind w:left="1320" w:hanging="440"/>
      </w:pPr>
      <w:rPr>
        <w:rFonts w:ascii="Wingdings" w:hAnsi="Wingdings" w:hint="default"/>
      </w:rPr>
    </w:lvl>
    <w:lvl w:ilvl="2" w:tplc="2E5AB836" w:tentative="1">
      <w:start w:val="1"/>
      <w:numFmt w:val="bullet"/>
      <w:lvlText w:val=""/>
      <w:lvlJc w:val="left"/>
      <w:pPr>
        <w:ind w:left="1760" w:hanging="440"/>
      </w:pPr>
      <w:rPr>
        <w:rFonts w:ascii="Wingdings" w:hAnsi="Wingdings" w:hint="default"/>
      </w:rPr>
    </w:lvl>
    <w:lvl w:ilvl="3" w:tplc="A70ADA6C" w:tentative="1">
      <w:start w:val="1"/>
      <w:numFmt w:val="bullet"/>
      <w:lvlText w:val=""/>
      <w:lvlJc w:val="left"/>
      <w:pPr>
        <w:ind w:left="2200" w:hanging="440"/>
      </w:pPr>
      <w:rPr>
        <w:rFonts w:ascii="Wingdings" w:hAnsi="Wingdings" w:hint="default"/>
      </w:rPr>
    </w:lvl>
    <w:lvl w:ilvl="4" w:tplc="F54C2294" w:tentative="1">
      <w:start w:val="1"/>
      <w:numFmt w:val="bullet"/>
      <w:lvlText w:val=""/>
      <w:lvlJc w:val="left"/>
      <w:pPr>
        <w:ind w:left="2640" w:hanging="440"/>
      </w:pPr>
      <w:rPr>
        <w:rFonts w:ascii="Wingdings" w:hAnsi="Wingdings" w:hint="default"/>
      </w:rPr>
    </w:lvl>
    <w:lvl w:ilvl="5" w:tplc="E5126244" w:tentative="1">
      <w:start w:val="1"/>
      <w:numFmt w:val="bullet"/>
      <w:lvlText w:val=""/>
      <w:lvlJc w:val="left"/>
      <w:pPr>
        <w:ind w:left="3080" w:hanging="440"/>
      </w:pPr>
      <w:rPr>
        <w:rFonts w:ascii="Wingdings" w:hAnsi="Wingdings" w:hint="default"/>
      </w:rPr>
    </w:lvl>
    <w:lvl w:ilvl="6" w:tplc="22264C54" w:tentative="1">
      <w:start w:val="1"/>
      <w:numFmt w:val="bullet"/>
      <w:lvlText w:val=""/>
      <w:lvlJc w:val="left"/>
      <w:pPr>
        <w:ind w:left="3520" w:hanging="440"/>
      </w:pPr>
      <w:rPr>
        <w:rFonts w:ascii="Wingdings" w:hAnsi="Wingdings" w:hint="default"/>
      </w:rPr>
    </w:lvl>
    <w:lvl w:ilvl="7" w:tplc="A850A0FA" w:tentative="1">
      <w:start w:val="1"/>
      <w:numFmt w:val="bullet"/>
      <w:lvlText w:val=""/>
      <w:lvlJc w:val="left"/>
      <w:pPr>
        <w:ind w:left="3960" w:hanging="440"/>
      </w:pPr>
      <w:rPr>
        <w:rFonts w:ascii="Wingdings" w:hAnsi="Wingdings" w:hint="default"/>
      </w:rPr>
    </w:lvl>
    <w:lvl w:ilvl="8" w:tplc="1C241690" w:tentative="1">
      <w:start w:val="1"/>
      <w:numFmt w:val="bullet"/>
      <w:lvlText w:val=""/>
      <w:lvlJc w:val="left"/>
      <w:pPr>
        <w:ind w:left="4400" w:hanging="440"/>
      </w:pPr>
      <w:rPr>
        <w:rFonts w:ascii="Wingdings" w:hAnsi="Wingdings" w:hint="default"/>
      </w:rPr>
    </w:lvl>
  </w:abstractNum>
  <w:abstractNum w:abstractNumId="1" w15:restartNumberingAfterBreak="0">
    <w:nsid w:val="06714D3E"/>
    <w:multiLevelType w:val="hybridMultilevel"/>
    <w:tmpl w:val="2458C34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C74769B"/>
    <w:multiLevelType w:val="multilevel"/>
    <w:tmpl w:val="CC208448"/>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3" w15:restartNumberingAfterBreak="0">
    <w:nsid w:val="15C42895"/>
    <w:multiLevelType w:val="multilevel"/>
    <w:tmpl w:val="3BAEEA5C"/>
    <w:lvl w:ilvl="0">
      <w:start w:val="1"/>
      <w:numFmt w:val="bullet"/>
      <w:lvlText w:val=""/>
      <w:lvlJc w:val="left"/>
      <w:pPr>
        <w:ind w:left="1080" w:hanging="360"/>
      </w:pPr>
      <w:rPr>
        <w:rFonts w:ascii="Symbol" w:eastAsia="Symbol" w:hAnsi="Symbol" w:cs="Symbol"/>
      </w:rPr>
    </w:lvl>
    <w:lvl w:ilvl="1">
      <w:start w:val="1"/>
      <w:numFmt w:val="bullet"/>
      <w:lvlText w:val=""/>
      <w:lvlJc w:val="left"/>
      <w:pPr>
        <w:ind w:left="1080" w:hanging="360"/>
      </w:pPr>
      <w:rPr>
        <w:rFonts w:ascii="Symbol" w:eastAsia="Symbol" w:hAnsi="Symbol" w:cs="Symbol"/>
      </w:rPr>
    </w:lvl>
    <w:lvl w:ilvl="2">
      <w:start w:val="1"/>
      <w:numFmt w:val="bullet"/>
      <w:lvlText w:val=""/>
      <w:lvlJc w:val="left"/>
      <w:pPr>
        <w:ind w:left="1080" w:hanging="360"/>
      </w:pPr>
      <w:rPr>
        <w:rFonts w:ascii="Symbol" w:eastAsia="Symbol" w:hAnsi="Symbol" w:cs="Symbol"/>
      </w:rPr>
    </w:lvl>
    <w:lvl w:ilvl="3">
      <w:start w:val="1"/>
      <w:numFmt w:val="bullet"/>
      <w:lvlText w:val=""/>
      <w:lvlJc w:val="left"/>
      <w:pPr>
        <w:ind w:left="1080" w:hanging="360"/>
      </w:pPr>
      <w:rPr>
        <w:rFonts w:ascii="Symbol" w:eastAsia="Symbol" w:hAnsi="Symbol" w:cs="Symbol"/>
      </w:rPr>
    </w:lvl>
    <w:lvl w:ilvl="4">
      <w:start w:val="1"/>
      <w:numFmt w:val="bullet"/>
      <w:lvlText w:val=""/>
      <w:lvlJc w:val="left"/>
      <w:pPr>
        <w:ind w:left="1080" w:hanging="360"/>
      </w:pPr>
      <w:rPr>
        <w:rFonts w:ascii="Symbol" w:eastAsia="Symbol" w:hAnsi="Symbol" w:cs="Symbol"/>
      </w:rPr>
    </w:lvl>
    <w:lvl w:ilvl="5">
      <w:start w:val="1"/>
      <w:numFmt w:val="bullet"/>
      <w:lvlText w:val=""/>
      <w:lvlJc w:val="left"/>
      <w:pPr>
        <w:ind w:left="1080" w:hanging="360"/>
      </w:pPr>
      <w:rPr>
        <w:rFonts w:ascii="Symbol" w:eastAsia="Symbol" w:hAnsi="Symbol" w:cs="Symbol"/>
      </w:rPr>
    </w:lvl>
    <w:lvl w:ilvl="6">
      <w:start w:val="1"/>
      <w:numFmt w:val="bullet"/>
      <w:lvlText w:val=""/>
      <w:lvlJc w:val="left"/>
      <w:pPr>
        <w:ind w:left="1080" w:hanging="360"/>
      </w:pPr>
      <w:rPr>
        <w:rFonts w:ascii="Symbol" w:eastAsia="Symbol" w:hAnsi="Symbol" w:cs="Symbol"/>
      </w:rPr>
    </w:lvl>
    <w:lvl w:ilvl="7">
      <w:start w:val="1"/>
      <w:numFmt w:val="bullet"/>
      <w:lvlText w:val=""/>
      <w:lvlJc w:val="left"/>
      <w:pPr>
        <w:ind w:left="1080" w:hanging="360"/>
      </w:pPr>
      <w:rPr>
        <w:rFonts w:ascii="Symbol" w:eastAsia="Symbol" w:hAnsi="Symbol" w:cs="Symbol"/>
      </w:rPr>
    </w:lvl>
    <w:lvl w:ilvl="8">
      <w:start w:val="1"/>
      <w:numFmt w:val="bullet"/>
      <w:lvlText w:val=""/>
      <w:lvlJc w:val="left"/>
      <w:pPr>
        <w:ind w:left="1080" w:hanging="360"/>
      </w:pPr>
      <w:rPr>
        <w:rFonts w:ascii="Symbol" w:eastAsia="Symbol" w:hAnsi="Symbol" w:cs="Symbol"/>
      </w:rPr>
    </w:lvl>
  </w:abstractNum>
  <w:abstractNum w:abstractNumId="4" w15:restartNumberingAfterBreak="0">
    <w:nsid w:val="169C14A4"/>
    <w:multiLevelType w:val="multilevel"/>
    <w:tmpl w:val="3942F68A"/>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5" w15:restartNumberingAfterBreak="0">
    <w:nsid w:val="1C0B19AF"/>
    <w:multiLevelType w:val="hybridMultilevel"/>
    <w:tmpl w:val="ECEC999E"/>
    <w:lvl w:ilvl="0" w:tplc="31EEE82C">
      <w:start w:val="1"/>
      <w:numFmt w:val="bullet"/>
      <w:lvlText w:val=""/>
      <w:lvlJc w:val="left"/>
      <w:pPr>
        <w:ind w:left="720" w:hanging="360"/>
      </w:pPr>
      <w:rPr>
        <w:rFonts w:ascii="Symbol" w:hAnsi="Symbol"/>
      </w:rPr>
    </w:lvl>
    <w:lvl w:ilvl="1" w:tplc="8EC81002">
      <w:start w:val="1"/>
      <w:numFmt w:val="bullet"/>
      <w:lvlText w:val=""/>
      <w:lvlJc w:val="left"/>
      <w:pPr>
        <w:ind w:left="720" w:hanging="360"/>
      </w:pPr>
      <w:rPr>
        <w:rFonts w:ascii="Symbol" w:hAnsi="Symbol"/>
      </w:rPr>
    </w:lvl>
    <w:lvl w:ilvl="2" w:tplc="5DE0BCC4">
      <w:start w:val="1"/>
      <w:numFmt w:val="bullet"/>
      <w:lvlText w:val=""/>
      <w:lvlJc w:val="left"/>
      <w:pPr>
        <w:ind w:left="720" w:hanging="360"/>
      </w:pPr>
      <w:rPr>
        <w:rFonts w:ascii="Symbol" w:hAnsi="Symbol"/>
      </w:rPr>
    </w:lvl>
    <w:lvl w:ilvl="3" w:tplc="62803B22">
      <w:start w:val="1"/>
      <w:numFmt w:val="bullet"/>
      <w:lvlText w:val=""/>
      <w:lvlJc w:val="left"/>
      <w:pPr>
        <w:ind w:left="720" w:hanging="360"/>
      </w:pPr>
      <w:rPr>
        <w:rFonts w:ascii="Symbol" w:hAnsi="Symbol"/>
      </w:rPr>
    </w:lvl>
    <w:lvl w:ilvl="4" w:tplc="FE024752">
      <w:start w:val="1"/>
      <w:numFmt w:val="bullet"/>
      <w:lvlText w:val=""/>
      <w:lvlJc w:val="left"/>
      <w:pPr>
        <w:ind w:left="720" w:hanging="360"/>
      </w:pPr>
      <w:rPr>
        <w:rFonts w:ascii="Symbol" w:hAnsi="Symbol"/>
      </w:rPr>
    </w:lvl>
    <w:lvl w:ilvl="5" w:tplc="9710EE8A">
      <w:start w:val="1"/>
      <w:numFmt w:val="bullet"/>
      <w:lvlText w:val=""/>
      <w:lvlJc w:val="left"/>
      <w:pPr>
        <w:ind w:left="720" w:hanging="360"/>
      </w:pPr>
      <w:rPr>
        <w:rFonts w:ascii="Symbol" w:hAnsi="Symbol"/>
      </w:rPr>
    </w:lvl>
    <w:lvl w:ilvl="6" w:tplc="B7A01A34">
      <w:start w:val="1"/>
      <w:numFmt w:val="bullet"/>
      <w:lvlText w:val=""/>
      <w:lvlJc w:val="left"/>
      <w:pPr>
        <w:ind w:left="720" w:hanging="360"/>
      </w:pPr>
      <w:rPr>
        <w:rFonts w:ascii="Symbol" w:hAnsi="Symbol"/>
      </w:rPr>
    </w:lvl>
    <w:lvl w:ilvl="7" w:tplc="C4F8E14E">
      <w:start w:val="1"/>
      <w:numFmt w:val="bullet"/>
      <w:lvlText w:val=""/>
      <w:lvlJc w:val="left"/>
      <w:pPr>
        <w:ind w:left="720" w:hanging="360"/>
      </w:pPr>
      <w:rPr>
        <w:rFonts w:ascii="Symbol" w:hAnsi="Symbol"/>
      </w:rPr>
    </w:lvl>
    <w:lvl w:ilvl="8" w:tplc="20D04BFA">
      <w:start w:val="1"/>
      <w:numFmt w:val="bullet"/>
      <w:lvlText w:val=""/>
      <w:lvlJc w:val="left"/>
      <w:pPr>
        <w:ind w:left="720" w:hanging="360"/>
      </w:pPr>
      <w:rPr>
        <w:rFonts w:ascii="Symbol" w:hAnsi="Symbol"/>
      </w:rPr>
    </w:lvl>
  </w:abstractNum>
  <w:abstractNum w:abstractNumId="6" w15:restartNumberingAfterBreak="0">
    <w:nsid w:val="20BA4516"/>
    <w:multiLevelType w:val="multilevel"/>
    <w:tmpl w:val="4F48F0B8"/>
    <w:lvl w:ilvl="0">
      <w:start w:val="3"/>
      <w:numFmt w:val="decimal"/>
      <w:lvlText w:val="-"/>
      <w:lvlJc w:val="left"/>
      <w:pPr>
        <w:ind w:left="417" w:hanging="2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A7341"/>
    <w:multiLevelType w:val="multilevel"/>
    <w:tmpl w:val="CE0679BE"/>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8" w15:restartNumberingAfterBreak="0">
    <w:nsid w:val="23830904"/>
    <w:multiLevelType w:val="multilevel"/>
    <w:tmpl w:val="FAC27DB2"/>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9" w15:restartNumberingAfterBreak="0">
    <w:nsid w:val="27C038CC"/>
    <w:multiLevelType w:val="multilevel"/>
    <w:tmpl w:val="56569D5C"/>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10" w15:restartNumberingAfterBreak="0">
    <w:nsid w:val="2A0F2A5C"/>
    <w:multiLevelType w:val="hybridMultilevel"/>
    <w:tmpl w:val="7F705350"/>
    <w:lvl w:ilvl="0" w:tplc="1D84D83C">
      <w:start w:val="1"/>
      <w:numFmt w:val="bullet"/>
      <w:lvlText w:val=""/>
      <w:lvlJc w:val="left"/>
      <w:pPr>
        <w:ind w:left="720" w:hanging="360"/>
      </w:pPr>
      <w:rPr>
        <w:rFonts w:ascii="Symbol" w:hAnsi="Symbol"/>
      </w:rPr>
    </w:lvl>
    <w:lvl w:ilvl="1" w:tplc="2646A190">
      <w:start w:val="1"/>
      <w:numFmt w:val="bullet"/>
      <w:lvlText w:val=""/>
      <w:lvlJc w:val="left"/>
      <w:pPr>
        <w:ind w:left="720" w:hanging="360"/>
      </w:pPr>
      <w:rPr>
        <w:rFonts w:ascii="Symbol" w:hAnsi="Symbol"/>
      </w:rPr>
    </w:lvl>
    <w:lvl w:ilvl="2" w:tplc="B2F4EC78">
      <w:start w:val="1"/>
      <w:numFmt w:val="bullet"/>
      <w:lvlText w:val=""/>
      <w:lvlJc w:val="left"/>
      <w:pPr>
        <w:ind w:left="720" w:hanging="360"/>
      </w:pPr>
      <w:rPr>
        <w:rFonts w:ascii="Symbol" w:hAnsi="Symbol"/>
      </w:rPr>
    </w:lvl>
    <w:lvl w:ilvl="3" w:tplc="444ED9DA">
      <w:start w:val="1"/>
      <w:numFmt w:val="bullet"/>
      <w:lvlText w:val=""/>
      <w:lvlJc w:val="left"/>
      <w:pPr>
        <w:ind w:left="720" w:hanging="360"/>
      </w:pPr>
      <w:rPr>
        <w:rFonts w:ascii="Symbol" w:hAnsi="Symbol"/>
      </w:rPr>
    </w:lvl>
    <w:lvl w:ilvl="4" w:tplc="109C745E">
      <w:start w:val="1"/>
      <w:numFmt w:val="bullet"/>
      <w:lvlText w:val=""/>
      <w:lvlJc w:val="left"/>
      <w:pPr>
        <w:ind w:left="720" w:hanging="360"/>
      </w:pPr>
      <w:rPr>
        <w:rFonts w:ascii="Symbol" w:hAnsi="Symbol"/>
      </w:rPr>
    </w:lvl>
    <w:lvl w:ilvl="5" w:tplc="B7581D0A">
      <w:start w:val="1"/>
      <w:numFmt w:val="bullet"/>
      <w:lvlText w:val=""/>
      <w:lvlJc w:val="left"/>
      <w:pPr>
        <w:ind w:left="720" w:hanging="360"/>
      </w:pPr>
      <w:rPr>
        <w:rFonts w:ascii="Symbol" w:hAnsi="Symbol"/>
      </w:rPr>
    </w:lvl>
    <w:lvl w:ilvl="6" w:tplc="58287D40">
      <w:start w:val="1"/>
      <w:numFmt w:val="bullet"/>
      <w:lvlText w:val=""/>
      <w:lvlJc w:val="left"/>
      <w:pPr>
        <w:ind w:left="720" w:hanging="360"/>
      </w:pPr>
      <w:rPr>
        <w:rFonts w:ascii="Symbol" w:hAnsi="Symbol"/>
      </w:rPr>
    </w:lvl>
    <w:lvl w:ilvl="7" w:tplc="729C5DB8">
      <w:start w:val="1"/>
      <w:numFmt w:val="bullet"/>
      <w:lvlText w:val=""/>
      <w:lvlJc w:val="left"/>
      <w:pPr>
        <w:ind w:left="720" w:hanging="360"/>
      </w:pPr>
      <w:rPr>
        <w:rFonts w:ascii="Symbol" w:hAnsi="Symbol"/>
      </w:rPr>
    </w:lvl>
    <w:lvl w:ilvl="8" w:tplc="E21E1382">
      <w:start w:val="1"/>
      <w:numFmt w:val="bullet"/>
      <w:lvlText w:val=""/>
      <w:lvlJc w:val="left"/>
      <w:pPr>
        <w:ind w:left="720" w:hanging="360"/>
      </w:pPr>
      <w:rPr>
        <w:rFonts w:ascii="Symbol" w:hAnsi="Symbol"/>
      </w:rPr>
    </w:lvl>
  </w:abstractNum>
  <w:abstractNum w:abstractNumId="11" w15:restartNumberingAfterBreak="0">
    <w:nsid w:val="2EBF00F5"/>
    <w:multiLevelType w:val="multilevel"/>
    <w:tmpl w:val="D9529FCE"/>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12" w15:restartNumberingAfterBreak="0">
    <w:nsid w:val="2F0E77D1"/>
    <w:multiLevelType w:val="multilevel"/>
    <w:tmpl w:val="D7B85D28"/>
    <w:lvl w:ilvl="0">
      <w:start w:val="1"/>
      <w:numFmt w:val="bullet"/>
      <w:lvlText w:val=""/>
      <w:lvlJc w:val="left"/>
      <w:pPr>
        <w:ind w:left="1080" w:hanging="360"/>
      </w:pPr>
      <w:rPr>
        <w:rFonts w:ascii="Symbol" w:eastAsia="Symbol" w:hAnsi="Symbol" w:cs="Symbol"/>
      </w:rPr>
    </w:lvl>
    <w:lvl w:ilvl="1">
      <w:start w:val="1"/>
      <w:numFmt w:val="bullet"/>
      <w:lvlText w:val=""/>
      <w:lvlJc w:val="left"/>
      <w:pPr>
        <w:ind w:left="1080" w:hanging="360"/>
      </w:pPr>
      <w:rPr>
        <w:rFonts w:ascii="Symbol" w:eastAsia="Symbol" w:hAnsi="Symbol" w:cs="Symbol"/>
      </w:rPr>
    </w:lvl>
    <w:lvl w:ilvl="2">
      <w:start w:val="1"/>
      <w:numFmt w:val="bullet"/>
      <w:lvlText w:val=""/>
      <w:lvlJc w:val="left"/>
      <w:pPr>
        <w:ind w:left="1080" w:hanging="360"/>
      </w:pPr>
      <w:rPr>
        <w:rFonts w:ascii="Symbol" w:eastAsia="Symbol" w:hAnsi="Symbol" w:cs="Symbol"/>
      </w:rPr>
    </w:lvl>
    <w:lvl w:ilvl="3">
      <w:start w:val="1"/>
      <w:numFmt w:val="bullet"/>
      <w:lvlText w:val=""/>
      <w:lvlJc w:val="left"/>
      <w:pPr>
        <w:ind w:left="1080" w:hanging="360"/>
      </w:pPr>
      <w:rPr>
        <w:rFonts w:ascii="Symbol" w:eastAsia="Symbol" w:hAnsi="Symbol" w:cs="Symbol"/>
      </w:rPr>
    </w:lvl>
    <w:lvl w:ilvl="4">
      <w:start w:val="1"/>
      <w:numFmt w:val="bullet"/>
      <w:lvlText w:val=""/>
      <w:lvlJc w:val="left"/>
      <w:pPr>
        <w:ind w:left="1080" w:hanging="360"/>
      </w:pPr>
      <w:rPr>
        <w:rFonts w:ascii="Symbol" w:eastAsia="Symbol" w:hAnsi="Symbol" w:cs="Symbol"/>
      </w:rPr>
    </w:lvl>
    <w:lvl w:ilvl="5">
      <w:start w:val="1"/>
      <w:numFmt w:val="bullet"/>
      <w:lvlText w:val=""/>
      <w:lvlJc w:val="left"/>
      <w:pPr>
        <w:ind w:left="1080" w:hanging="360"/>
      </w:pPr>
      <w:rPr>
        <w:rFonts w:ascii="Symbol" w:eastAsia="Symbol" w:hAnsi="Symbol" w:cs="Symbol"/>
      </w:rPr>
    </w:lvl>
    <w:lvl w:ilvl="6">
      <w:start w:val="1"/>
      <w:numFmt w:val="bullet"/>
      <w:lvlText w:val=""/>
      <w:lvlJc w:val="left"/>
      <w:pPr>
        <w:ind w:left="1080" w:hanging="360"/>
      </w:pPr>
      <w:rPr>
        <w:rFonts w:ascii="Symbol" w:eastAsia="Symbol" w:hAnsi="Symbol" w:cs="Symbol"/>
      </w:rPr>
    </w:lvl>
    <w:lvl w:ilvl="7">
      <w:start w:val="1"/>
      <w:numFmt w:val="bullet"/>
      <w:lvlText w:val=""/>
      <w:lvlJc w:val="left"/>
      <w:pPr>
        <w:ind w:left="1080" w:hanging="360"/>
      </w:pPr>
      <w:rPr>
        <w:rFonts w:ascii="Symbol" w:eastAsia="Symbol" w:hAnsi="Symbol" w:cs="Symbol"/>
      </w:rPr>
    </w:lvl>
    <w:lvl w:ilvl="8">
      <w:start w:val="1"/>
      <w:numFmt w:val="bullet"/>
      <w:lvlText w:val=""/>
      <w:lvlJc w:val="left"/>
      <w:pPr>
        <w:ind w:left="1080" w:hanging="360"/>
      </w:pPr>
      <w:rPr>
        <w:rFonts w:ascii="Symbol" w:eastAsia="Symbol" w:hAnsi="Symbol" w:cs="Symbol"/>
      </w:rPr>
    </w:lvl>
  </w:abstractNum>
  <w:abstractNum w:abstractNumId="13" w15:restartNumberingAfterBreak="0">
    <w:nsid w:val="38E74445"/>
    <w:multiLevelType w:val="hybridMultilevel"/>
    <w:tmpl w:val="CB946AF6"/>
    <w:lvl w:ilvl="0" w:tplc="AEE62A40">
      <w:start w:val="3"/>
      <w:numFmt w:val="bullet"/>
      <w:suff w:val="space"/>
      <w:lvlText w:val="-"/>
      <w:lvlJc w:val="left"/>
      <w:pPr>
        <w:ind w:left="417" w:hanging="20"/>
      </w:pPr>
      <w:rPr>
        <w:rFonts w:ascii="Times New Roman" w:eastAsia="바탕" w:hAnsi="Times New Roman" w:cs="Times New Roman" w:hint="default"/>
      </w:rPr>
    </w:lvl>
    <w:lvl w:ilvl="1" w:tplc="37DC447A" w:tentative="1">
      <w:start w:val="1"/>
      <w:numFmt w:val="bullet"/>
      <w:lvlText w:val=""/>
      <w:lvlJc w:val="left"/>
      <w:pPr>
        <w:ind w:left="937" w:hanging="440"/>
      </w:pPr>
      <w:rPr>
        <w:rFonts w:ascii="Wingdings" w:hAnsi="Wingdings" w:hint="default"/>
      </w:rPr>
    </w:lvl>
    <w:lvl w:ilvl="2" w:tplc="859E8868" w:tentative="1">
      <w:start w:val="1"/>
      <w:numFmt w:val="bullet"/>
      <w:lvlText w:val=""/>
      <w:lvlJc w:val="left"/>
      <w:pPr>
        <w:ind w:left="1377" w:hanging="440"/>
      </w:pPr>
      <w:rPr>
        <w:rFonts w:ascii="Wingdings" w:hAnsi="Wingdings" w:hint="default"/>
      </w:rPr>
    </w:lvl>
    <w:lvl w:ilvl="3" w:tplc="6B96FC86" w:tentative="1">
      <w:start w:val="1"/>
      <w:numFmt w:val="bullet"/>
      <w:lvlText w:val=""/>
      <w:lvlJc w:val="left"/>
      <w:pPr>
        <w:ind w:left="1817" w:hanging="440"/>
      </w:pPr>
      <w:rPr>
        <w:rFonts w:ascii="Wingdings" w:hAnsi="Wingdings" w:hint="default"/>
      </w:rPr>
    </w:lvl>
    <w:lvl w:ilvl="4" w:tplc="587C1ACA" w:tentative="1">
      <w:start w:val="1"/>
      <w:numFmt w:val="bullet"/>
      <w:lvlText w:val=""/>
      <w:lvlJc w:val="left"/>
      <w:pPr>
        <w:ind w:left="2257" w:hanging="440"/>
      </w:pPr>
      <w:rPr>
        <w:rFonts w:ascii="Wingdings" w:hAnsi="Wingdings" w:hint="default"/>
      </w:rPr>
    </w:lvl>
    <w:lvl w:ilvl="5" w:tplc="03F06262" w:tentative="1">
      <w:start w:val="1"/>
      <w:numFmt w:val="bullet"/>
      <w:lvlText w:val=""/>
      <w:lvlJc w:val="left"/>
      <w:pPr>
        <w:ind w:left="2697" w:hanging="440"/>
      </w:pPr>
      <w:rPr>
        <w:rFonts w:ascii="Wingdings" w:hAnsi="Wingdings" w:hint="default"/>
      </w:rPr>
    </w:lvl>
    <w:lvl w:ilvl="6" w:tplc="A9EA15EC" w:tentative="1">
      <w:start w:val="1"/>
      <w:numFmt w:val="bullet"/>
      <w:lvlText w:val=""/>
      <w:lvlJc w:val="left"/>
      <w:pPr>
        <w:ind w:left="3137" w:hanging="440"/>
      </w:pPr>
      <w:rPr>
        <w:rFonts w:ascii="Wingdings" w:hAnsi="Wingdings" w:hint="default"/>
      </w:rPr>
    </w:lvl>
    <w:lvl w:ilvl="7" w:tplc="664ABA78" w:tentative="1">
      <w:start w:val="1"/>
      <w:numFmt w:val="bullet"/>
      <w:lvlText w:val=""/>
      <w:lvlJc w:val="left"/>
      <w:pPr>
        <w:ind w:left="3577" w:hanging="440"/>
      </w:pPr>
      <w:rPr>
        <w:rFonts w:ascii="Wingdings" w:hAnsi="Wingdings" w:hint="default"/>
      </w:rPr>
    </w:lvl>
    <w:lvl w:ilvl="8" w:tplc="43628978" w:tentative="1">
      <w:start w:val="1"/>
      <w:numFmt w:val="bullet"/>
      <w:lvlText w:val=""/>
      <w:lvlJc w:val="left"/>
      <w:pPr>
        <w:ind w:left="4017" w:hanging="440"/>
      </w:pPr>
      <w:rPr>
        <w:rFonts w:ascii="Wingdings" w:hAnsi="Wingdings" w:hint="default"/>
      </w:rPr>
    </w:lvl>
  </w:abstractNum>
  <w:abstractNum w:abstractNumId="14" w15:restartNumberingAfterBreak="0">
    <w:nsid w:val="39EF489A"/>
    <w:multiLevelType w:val="multilevel"/>
    <w:tmpl w:val="024687F6"/>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15" w15:restartNumberingAfterBreak="0">
    <w:nsid w:val="3FE6219D"/>
    <w:multiLevelType w:val="multilevel"/>
    <w:tmpl w:val="95FA0394"/>
    <w:lvl w:ilvl="0">
      <w:start w:val="1"/>
      <w:numFmt w:val="decimal"/>
      <w:lvlText w:val="(%1)"/>
      <w:lvlJc w:val="left"/>
      <w:pPr>
        <w:ind w:left="6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3C5EBC"/>
    <w:multiLevelType w:val="multilevel"/>
    <w:tmpl w:val="218EB2EC"/>
    <w:lvl w:ilvl="0">
      <w:start w:val="1"/>
      <w:numFmt w:val="decimal"/>
      <w:lvlText w:val="(%1)"/>
      <w:lvlJc w:val="left"/>
      <w:pPr>
        <w:ind w:left="6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A62DEB"/>
    <w:multiLevelType w:val="hybridMultilevel"/>
    <w:tmpl w:val="9C1C5FA8"/>
    <w:lvl w:ilvl="0" w:tplc="F670E7FE">
      <w:start w:val="1"/>
      <w:numFmt w:val="bullet"/>
      <w:lvlText w:val=""/>
      <w:lvlJc w:val="left"/>
      <w:pPr>
        <w:ind w:left="720" w:hanging="360"/>
      </w:pPr>
      <w:rPr>
        <w:rFonts w:ascii="Symbol" w:hAnsi="Symbol"/>
      </w:rPr>
    </w:lvl>
    <w:lvl w:ilvl="1" w:tplc="9266C452">
      <w:start w:val="1"/>
      <w:numFmt w:val="bullet"/>
      <w:lvlText w:val=""/>
      <w:lvlJc w:val="left"/>
      <w:pPr>
        <w:ind w:left="720" w:hanging="360"/>
      </w:pPr>
      <w:rPr>
        <w:rFonts w:ascii="Symbol" w:hAnsi="Symbol"/>
      </w:rPr>
    </w:lvl>
    <w:lvl w:ilvl="2" w:tplc="0BD65408">
      <w:start w:val="1"/>
      <w:numFmt w:val="bullet"/>
      <w:lvlText w:val=""/>
      <w:lvlJc w:val="left"/>
      <w:pPr>
        <w:ind w:left="720" w:hanging="360"/>
      </w:pPr>
      <w:rPr>
        <w:rFonts w:ascii="Symbol" w:hAnsi="Symbol"/>
      </w:rPr>
    </w:lvl>
    <w:lvl w:ilvl="3" w:tplc="32F67B8A">
      <w:start w:val="1"/>
      <w:numFmt w:val="bullet"/>
      <w:lvlText w:val=""/>
      <w:lvlJc w:val="left"/>
      <w:pPr>
        <w:ind w:left="720" w:hanging="360"/>
      </w:pPr>
      <w:rPr>
        <w:rFonts w:ascii="Symbol" w:hAnsi="Symbol"/>
      </w:rPr>
    </w:lvl>
    <w:lvl w:ilvl="4" w:tplc="BBD8036A">
      <w:start w:val="1"/>
      <w:numFmt w:val="bullet"/>
      <w:lvlText w:val=""/>
      <w:lvlJc w:val="left"/>
      <w:pPr>
        <w:ind w:left="720" w:hanging="360"/>
      </w:pPr>
      <w:rPr>
        <w:rFonts w:ascii="Symbol" w:hAnsi="Symbol"/>
      </w:rPr>
    </w:lvl>
    <w:lvl w:ilvl="5" w:tplc="6092498A">
      <w:start w:val="1"/>
      <w:numFmt w:val="bullet"/>
      <w:lvlText w:val=""/>
      <w:lvlJc w:val="left"/>
      <w:pPr>
        <w:ind w:left="720" w:hanging="360"/>
      </w:pPr>
      <w:rPr>
        <w:rFonts w:ascii="Symbol" w:hAnsi="Symbol"/>
      </w:rPr>
    </w:lvl>
    <w:lvl w:ilvl="6" w:tplc="81E80380">
      <w:start w:val="1"/>
      <w:numFmt w:val="bullet"/>
      <w:lvlText w:val=""/>
      <w:lvlJc w:val="left"/>
      <w:pPr>
        <w:ind w:left="720" w:hanging="360"/>
      </w:pPr>
      <w:rPr>
        <w:rFonts w:ascii="Symbol" w:hAnsi="Symbol"/>
      </w:rPr>
    </w:lvl>
    <w:lvl w:ilvl="7" w:tplc="AF8C1A2A">
      <w:start w:val="1"/>
      <w:numFmt w:val="bullet"/>
      <w:lvlText w:val=""/>
      <w:lvlJc w:val="left"/>
      <w:pPr>
        <w:ind w:left="720" w:hanging="360"/>
      </w:pPr>
      <w:rPr>
        <w:rFonts w:ascii="Symbol" w:hAnsi="Symbol"/>
      </w:rPr>
    </w:lvl>
    <w:lvl w:ilvl="8" w:tplc="427018BE">
      <w:start w:val="1"/>
      <w:numFmt w:val="bullet"/>
      <w:lvlText w:val=""/>
      <w:lvlJc w:val="left"/>
      <w:pPr>
        <w:ind w:left="720" w:hanging="360"/>
      </w:pPr>
      <w:rPr>
        <w:rFonts w:ascii="Symbol" w:hAnsi="Symbol"/>
      </w:rPr>
    </w:lvl>
  </w:abstractNum>
  <w:abstractNum w:abstractNumId="18" w15:restartNumberingAfterBreak="0">
    <w:nsid w:val="4F0405DB"/>
    <w:multiLevelType w:val="multilevel"/>
    <w:tmpl w:val="88B406CC"/>
    <w:lvl w:ilvl="0">
      <w:start w:val="1"/>
      <w:numFmt w:val="bullet"/>
      <w:lvlText w:val=""/>
      <w:lvlJc w:val="left"/>
      <w:pPr>
        <w:ind w:left="1080" w:hanging="360"/>
      </w:pPr>
      <w:rPr>
        <w:rFonts w:ascii="Symbol" w:eastAsia="Symbol" w:hAnsi="Symbol" w:cs="Symbol"/>
      </w:rPr>
    </w:lvl>
    <w:lvl w:ilvl="1">
      <w:start w:val="1"/>
      <w:numFmt w:val="bullet"/>
      <w:lvlText w:val=""/>
      <w:lvlJc w:val="left"/>
      <w:pPr>
        <w:ind w:left="1080" w:hanging="360"/>
      </w:pPr>
      <w:rPr>
        <w:rFonts w:ascii="Symbol" w:eastAsia="Symbol" w:hAnsi="Symbol" w:cs="Symbol"/>
      </w:rPr>
    </w:lvl>
    <w:lvl w:ilvl="2">
      <w:start w:val="1"/>
      <w:numFmt w:val="bullet"/>
      <w:lvlText w:val=""/>
      <w:lvlJc w:val="left"/>
      <w:pPr>
        <w:ind w:left="1080" w:hanging="360"/>
      </w:pPr>
      <w:rPr>
        <w:rFonts w:ascii="Symbol" w:eastAsia="Symbol" w:hAnsi="Symbol" w:cs="Symbol"/>
      </w:rPr>
    </w:lvl>
    <w:lvl w:ilvl="3">
      <w:start w:val="1"/>
      <w:numFmt w:val="bullet"/>
      <w:lvlText w:val=""/>
      <w:lvlJc w:val="left"/>
      <w:pPr>
        <w:ind w:left="1080" w:hanging="360"/>
      </w:pPr>
      <w:rPr>
        <w:rFonts w:ascii="Symbol" w:eastAsia="Symbol" w:hAnsi="Symbol" w:cs="Symbol"/>
      </w:rPr>
    </w:lvl>
    <w:lvl w:ilvl="4">
      <w:start w:val="1"/>
      <w:numFmt w:val="bullet"/>
      <w:lvlText w:val=""/>
      <w:lvlJc w:val="left"/>
      <w:pPr>
        <w:ind w:left="1080" w:hanging="360"/>
      </w:pPr>
      <w:rPr>
        <w:rFonts w:ascii="Symbol" w:eastAsia="Symbol" w:hAnsi="Symbol" w:cs="Symbol"/>
      </w:rPr>
    </w:lvl>
    <w:lvl w:ilvl="5">
      <w:start w:val="1"/>
      <w:numFmt w:val="bullet"/>
      <w:lvlText w:val=""/>
      <w:lvlJc w:val="left"/>
      <w:pPr>
        <w:ind w:left="1080" w:hanging="360"/>
      </w:pPr>
      <w:rPr>
        <w:rFonts w:ascii="Symbol" w:eastAsia="Symbol" w:hAnsi="Symbol" w:cs="Symbol"/>
      </w:rPr>
    </w:lvl>
    <w:lvl w:ilvl="6">
      <w:start w:val="1"/>
      <w:numFmt w:val="bullet"/>
      <w:lvlText w:val=""/>
      <w:lvlJc w:val="left"/>
      <w:pPr>
        <w:ind w:left="1080" w:hanging="360"/>
      </w:pPr>
      <w:rPr>
        <w:rFonts w:ascii="Symbol" w:eastAsia="Symbol" w:hAnsi="Symbol" w:cs="Symbol"/>
      </w:rPr>
    </w:lvl>
    <w:lvl w:ilvl="7">
      <w:start w:val="1"/>
      <w:numFmt w:val="bullet"/>
      <w:lvlText w:val=""/>
      <w:lvlJc w:val="left"/>
      <w:pPr>
        <w:ind w:left="1080" w:hanging="360"/>
      </w:pPr>
      <w:rPr>
        <w:rFonts w:ascii="Symbol" w:eastAsia="Symbol" w:hAnsi="Symbol" w:cs="Symbol"/>
      </w:rPr>
    </w:lvl>
    <w:lvl w:ilvl="8">
      <w:start w:val="1"/>
      <w:numFmt w:val="bullet"/>
      <w:lvlText w:val=""/>
      <w:lvlJc w:val="left"/>
      <w:pPr>
        <w:ind w:left="1080" w:hanging="360"/>
      </w:pPr>
      <w:rPr>
        <w:rFonts w:ascii="Symbol" w:eastAsia="Symbol" w:hAnsi="Symbol" w:cs="Symbol"/>
      </w:rPr>
    </w:lvl>
  </w:abstractNum>
  <w:abstractNum w:abstractNumId="19" w15:restartNumberingAfterBreak="0">
    <w:nsid w:val="54C67DB0"/>
    <w:multiLevelType w:val="multilevel"/>
    <w:tmpl w:val="1B027FD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15:restartNumberingAfterBreak="0">
    <w:nsid w:val="56F672C2"/>
    <w:multiLevelType w:val="hybridMultilevel"/>
    <w:tmpl w:val="8A34652C"/>
    <w:lvl w:ilvl="0" w:tplc="11A443A6">
      <w:start w:val="1"/>
      <w:numFmt w:val="bullet"/>
      <w:lvlText w:val=""/>
      <w:lvlJc w:val="left"/>
      <w:pPr>
        <w:ind w:left="720" w:hanging="360"/>
      </w:pPr>
      <w:rPr>
        <w:rFonts w:ascii="Symbol" w:hAnsi="Symbol"/>
      </w:rPr>
    </w:lvl>
    <w:lvl w:ilvl="1" w:tplc="9C8AC7DA">
      <w:start w:val="1"/>
      <w:numFmt w:val="bullet"/>
      <w:lvlText w:val=""/>
      <w:lvlJc w:val="left"/>
      <w:pPr>
        <w:ind w:left="720" w:hanging="360"/>
      </w:pPr>
      <w:rPr>
        <w:rFonts w:ascii="Symbol" w:hAnsi="Symbol"/>
      </w:rPr>
    </w:lvl>
    <w:lvl w:ilvl="2" w:tplc="84900C66">
      <w:start w:val="1"/>
      <w:numFmt w:val="bullet"/>
      <w:lvlText w:val=""/>
      <w:lvlJc w:val="left"/>
      <w:pPr>
        <w:ind w:left="720" w:hanging="360"/>
      </w:pPr>
      <w:rPr>
        <w:rFonts w:ascii="Symbol" w:hAnsi="Symbol"/>
      </w:rPr>
    </w:lvl>
    <w:lvl w:ilvl="3" w:tplc="2326CD8C">
      <w:start w:val="1"/>
      <w:numFmt w:val="bullet"/>
      <w:lvlText w:val=""/>
      <w:lvlJc w:val="left"/>
      <w:pPr>
        <w:ind w:left="720" w:hanging="360"/>
      </w:pPr>
      <w:rPr>
        <w:rFonts w:ascii="Symbol" w:hAnsi="Symbol"/>
      </w:rPr>
    </w:lvl>
    <w:lvl w:ilvl="4" w:tplc="27E865A2">
      <w:start w:val="1"/>
      <w:numFmt w:val="bullet"/>
      <w:lvlText w:val=""/>
      <w:lvlJc w:val="left"/>
      <w:pPr>
        <w:ind w:left="720" w:hanging="360"/>
      </w:pPr>
      <w:rPr>
        <w:rFonts w:ascii="Symbol" w:hAnsi="Symbol"/>
      </w:rPr>
    </w:lvl>
    <w:lvl w:ilvl="5" w:tplc="8F88CA5A">
      <w:start w:val="1"/>
      <w:numFmt w:val="bullet"/>
      <w:lvlText w:val=""/>
      <w:lvlJc w:val="left"/>
      <w:pPr>
        <w:ind w:left="720" w:hanging="360"/>
      </w:pPr>
      <w:rPr>
        <w:rFonts w:ascii="Symbol" w:hAnsi="Symbol"/>
      </w:rPr>
    </w:lvl>
    <w:lvl w:ilvl="6" w:tplc="6ABAC564">
      <w:start w:val="1"/>
      <w:numFmt w:val="bullet"/>
      <w:lvlText w:val=""/>
      <w:lvlJc w:val="left"/>
      <w:pPr>
        <w:ind w:left="720" w:hanging="360"/>
      </w:pPr>
      <w:rPr>
        <w:rFonts w:ascii="Symbol" w:hAnsi="Symbol"/>
      </w:rPr>
    </w:lvl>
    <w:lvl w:ilvl="7" w:tplc="48AC51EA">
      <w:start w:val="1"/>
      <w:numFmt w:val="bullet"/>
      <w:lvlText w:val=""/>
      <w:lvlJc w:val="left"/>
      <w:pPr>
        <w:ind w:left="720" w:hanging="360"/>
      </w:pPr>
      <w:rPr>
        <w:rFonts w:ascii="Symbol" w:hAnsi="Symbol"/>
      </w:rPr>
    </w:lvl>
    <w:lvl w:ilvl="8" w:tplc="F6B2983A">
      <w:start w:val="1"/>
      <w:numFmt w:val="bullet"/>
      <w:lvlText w:val=""/>
      <w:lvlJc w:val="left"/>
      <w:pPr>
        <w:ind w:left="720" w:hanging="360"/>
      </w:pPr>
      <w:rPr>
        <w:rFonts w:ascii="Symbol" w:hAnsi="Symbol"/>
      </w:rPr>
    </w:lvl>
  </w:abstractNum>
  <w:abstractNum w:abstractNumId="21" w15:restartNumberingAfterBreak="0">
    <w:nsid w:val="5A2C0CFB"/>
    <w:multiLevelType w:val="hybridMultilevel"/>
    <w:tmpl w:val="4F54995C"/>
    <w:lvl w:ilvl="0" w:tplc="D6285F98">
      <w:start w:val="1"/>
      <w:numFmt w:val="bullet"/>
      <w:lvlText w:val=""/>
      <w:lvlJc w:val="left"/>
      <w:pPr>
        <w:ind w:left="720" w:hanging="360"/>
      </w:pPr>
      <w:rPr>
        <w:rFonts w:ascii="Symbol" w:hAnsi="Symbol"/>
      </w:rPr>
    </w:lvl>
    <w:lvl w:ilvl="1" w:tplc="D5DC13E8">
      <w:start w:val="1"/>
      <w:numFmt w:val="bullet"/>
      <w:lvlText w:val=""/>
      <w:lvlJc w:val="left"/>
      <w:pPr>
        <w:ind w:left="720" w:hanging="360"/>
      </w:pPr>
      <w:rPr>
        <w:rFonts w:ascii="Symbol" w:hAnsi="Symbol"/>
      </w:rPr>
    </w:lvl>
    <w:lvl w:ilvl="2" w:tplc="17266EFC">
      <w:start w:val="1"/>
      <w:numFmt w:val="bullet"/>
      <w:lvlText w:val=""/>
      <w:lvlJc w:val="left"/>
      <w:pPr>
        <w:ind w:left="720" w:hanging="360"/>
      </w:pPr>
      <w:rPr>
        <w:rFonts w:ascii="Symbol" w:hAnsi="Symbol"/>
      </w:rPr>
    </w:lvl>
    <w:lvl w:ilvl="3" w:tplc="2EACC61C">
      <w:start w:val="1"/>
      <w:numFmt w:val="bullet"/>
      <w:lvlText w:val=""/>
      <w:lvlJc w:val="left"/>
      <w:pPr>
        <w:ind w:left="720" w:hanging="360"/>
      </w:pPr>
      <w:rPr>
        <w:rFonts w:ascii="Symbol" w:hAnsi="Symbol"/>
      </w:rPr>
    </w:lvl>
    <w:lvl w:ilvl="4" w:tplc="9522ADB4">
      <w:start w:val="1"/>
      <w:numFmt w:val="bullet"/>
      <w:lvlText w:val=""/>
      <w:lvlJc w:val="left"/>
      <w:pPr>
        <w:ind w:left="720" w:hanging="360"/>
      </w:pPr>
      <w:rPr>
        <w:rFonts w:ascii="Symbol" w:hAnsi="Symbol"/>
      </w:rPr>
    </w:lvl>
    <w:lvl w:ilvl="5" w:tplc="4A0400D0">
      <w:start w:val="1"/>
      <w:numFmt w:val="bullet"/>
      <w:lvlText w:val=""/>
      <w:lvlJc w:val="left"/>
      <w:pPr>
        <w:ind w:left="720" w:hanging="360"/>
      </w:pPr>
      <w:rPr>
        <w:rFonts w:ascii="Symbol" w:hAnsi="Symbol"/>
      </w:rPr>
    </w:lvl>
    <w:lvl w:ilvl="6" w:tplc="941429CC">
      <w:start w:val="1"/>
      <w:numFmt w:val="bullet"/>
      <w:lvlText w:val=""/>
      <w:lvlJc w:val="left"/>
      <w:pPr>
        <w:ind w:left="720" w:hanging="360"/>
      </w:pPr>
      <w:rPr>
        <w:rFonts w:ascii="Symbol" w:hAnsi="Symbol"/>
      </w:rPr>
    </w:lvl>
    <w:lvl w:ilvl="7" w:tplc="BAAE2B90">
      <w:start w:val="1"/>
      <w:numFmt w:val="bullet"/>
      <w:lvlText w:val=""/>
      <w:lvlJc w:val="left"/>
      <w:pPr>
        <w:ind w:left="720" w:hanging="360"/>
      </w:pPr>
      <w:rPr>
        <w:rFonts w:ascii="Symbol" w:hAnsi="Symbol"/>
      </w:rPr>
    </w:lvl>
    <w:lvl w:ilvl="8" w:tplc="8B4A2FDC">
      <w:start w:val="1"/>
      <w:numFmt w:val="bullet"/>
      <w:lvlText w:val=""/>
      <w:lvlJc w:val="left"/>
      <w:pPr>
        <w:ind w:left="720" w:hanging="360"/>
      </w:pPr>
      <w:rPr>
        <w:rFonts w:ascii="Symbol" w:hAnsi="Symbol"/>
      </w:rPr>
    </w:lvl>
  </w:abstractNum>
  <w:abstractNum w:abstractNumId="22" w15:restartNumberingAfterBreak="0">
    <w:nsid w:val="643922FD"/>
    <w:multiLevelType w:val="hybridMultilevel"/>
    <w:tmpl w:val="0C348124"/>
    <w:lvl w:ilvl="0" w:tplc="AD809A70">
      <w:start w:val="1"/>
      <w:numFmt w:val="bullet"/>
      <w:lvlText w:val=""/>
      <w:lvlJc w:val="left"/>
      <w:pPr>
        <w:ind w:left="720" w:hanging="360"/>
      </w:pPr>
      <w:rPr>
        <w:rFonts w:ascii="Symbol" w:hAnsi="Symbol"/>
      </w:rPr>
    </w:lvl>
    <w:lvl w:ilvl="1" w:tplc="5C860840">
      <w:start w:val="1"/>
      <w:numFmt w:val="bullet"/>
      <w:lvlText w:val=""/>
      <w:lvlJc w:val="left"/>
      <w:pPr>
        <w:ind w:left="720" w:hanging="360"/>
      </w:pPr>
      <w:rPr>
        <w:rFonts w:ascii="Symbol" w:hAnsi="Symbol"/>
      </w:rPr>
    </w:lvl>
    <w:lvl w:ilvl="2" w:tplc="CCBA80E6">
      <w:start w:val="1"/>
      <w:numFmt w:val="bullet"/>
      <w:lvlText w:val=""/>
      <w:lvlJc w:val="left"/>
      <w:pPr>
        <w:ind w:left="720" w:hanging="360"/>
      </w:pPr>
      <w:rPr>
        <w:rFonts w:ascii="Symbol" w:hAnsi="Symbol"/>
      </w:rPr>
    </w:lvl>
    <w:lvl w:ilvl="3" w:tplc="9940C228">
      <w:start w:val="1"/>
      <w:numFmt w:val="bullet"/>
      <w:lvlText w:val=""/>
      <w:lvlJc w:val="left"/>
      <w:pPr>
        <w:ind w:left="720" w:hanging="360"/>
      </w:pPr>
      <w:rPr>
        <w:rFonts w:ascii="Symbol" w:hAnsi="Symbol"/>
      </w:rPr>
    </w:lvl>
    <w:lvl w:ilvl="4" w:tplc="258EFCA6">
      <w:start w:val="1"/>
      <w:numFmt w:val="bullet"/>
      <w:lvlText w:val=""/>
      <w:lvlJc w:val="left"/>
      <w:pPr>
        <w:ind w:left="720" w:hanging="360"/>
      </w:pPr>
      <w:rPr>
        <w:rFonts w:ascii="Symbol" w:hAnsi="Symbol"/>
      </w:rPr>
    </w:lvl>
    <w:lvl w:ilvl="5" w:tplc="117E759C">
      <w:start w:val="1"/>
      <w:numFmt w:val="bullet"/>
      <w:lvlText w:val=""/>
      <w:lvlJc w:val="left"/>
      <w:pPr>
        <w:ind w:left="720" w:hanging="360"/>
      </w:pPr>
      <w:rPr>
        <w:rFonts w:ascii="Symbol" w:hAnsi="Symbol"/>
      </w:rPr>
    </w:lvl>
    <w:lvl w:ilvl="6" w:tplc="44FE1438">
      <w:start w:val="1"/>
      <w:numFmt w:val="bullet"/>
      <w:lvlText w:val=""/>
      <w:lvlJc w:val="left"/>
      <w:pPr>
        <w:ind w:left="720" w:hanging="360"/>
      </w:pPr>
      <w:rPr>
        <w:rFonts w:ascii="Symbol" w:hAnsi="Symbol"/>
      </w:rPr>
    </w:lvl>
    <w:lvl w:ilvl="7" w:tplc="E5C667D6">
      <w:start w:val="1"/>
      <w:numFmt w:val="bullet"/>
      <w:lvlText w:val=""/>
      <w:lvlJc w:val="left"/>
      <w:pPr>
        <w:ind w:left="720" w:hanging="360"/>
      </w:pPr>
      <w:rPr>
        <w:rFonts w:ascii="Symbol" w:hAnsi="Symbol"/>
      </w:rPr>
    </w:lvl>
    <w:lvl w:ilvl="8" w:tplc="E09AEF70">
      <w:start w:val="1"/>
      <w:numFmt w:val="bullet"/>
      <w:lvlText w:val=""/>
      <w:lvlJc w:val="left"/>
      <w:pPr>
        <w:ind w:left="720" w:hanging="360"/>
      </w:pPr>
      <w:rPr>
        <w:rFonts w:ascii="Symbol" w:hAnsi="Symbol"/>
      </w:rPr>
    </w:lvl>
  </w:abstractNum>
  <w:abstractNum w:abstractNumId="23" w15:restartNumberingAfterBreak="0">
    <w:nsid w:val="66105226"/>
    <w:multiLevelType w:val="multilevel"/>
    <w:tmpl w:val="655E4764"/>
    <w:lvl w:ilvl="0">
      <w:start w:val="1"/>
      <w:numFmt w:val="decimal"/>
      <w:lvlText w:val=""/>
      <w:lvlJc w:val="left"/>
      <w:pPr>
        <w:ind w:left="1277" w:hanging="1220"/>
      </w:pPr>
      <w:rPr>
        <w:rFonts w:ascii="Wingdings" w:eastAsia="Wingdings" w:hAnsi="Wingdings" w:cs="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D22FF0"/>
    <w:multiLevelType w:val="multilevel"/>
    <w:tmpl w:val="ACA02478"/>
    <w:lvl w:ilvl="0">
      <w:start w:val="1"/>
      <w:numFmt w:val="decimal"/>
      <w:lvlText w:val="[%1] "/>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08362C"/>
    <w:multiLevelType w:val="multilevel"/>
    <w:tmpl w:val="F17A8816"/>
    <w:lvl w:ilvl="0">
      <w:start w:val="2"/>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A9A6436"/>
    <w:multiLevelType w:val="multilevel"/>
    <w:tmpl w:val="58CCFAF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C6B1A32"/>
    <w:multiLevelType w:val="multilevel"/>
    <w:tmpl w:val="53A2EDDC"/>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28" w15:restartNumberingAfterBreak="0">
    <w:nsid w:val="6D790241"/>
    <w:multiLevelType w:val="multilevel"/>
    <w:tmpl w:val="3758A2F4"/>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29" w15:restartNumberingAfterBreak="0">
    <w:nsid w:val="6DC035D1"/>
    <w:multiLevelType w:val="multilevel"/>
    <w:tmpl w:val="A782CD34"/>
    <w:lvl w:ilvl="0">
      <w:start w:val="1"/>
      <w:numFmt w:val="bullet"/>
      <w:lvlText w:val=""/>
      <w:lvlJc w:val="left"/>
      <w:pPr>
        <w:ind w:left="720" w:hanging="360"/>
      </w:pPr>
      <w:rPr>
        <w:rFonts w:ascii="Symbol" w:eastAsia="Symbol" w:hAnsi="Symbol" w:cs="Symbol"/>
      </w:rPr>
    </w:lvl>
    <w:lvl w:ilvl="1">
      <w:start w:val="1"/>
      <w:numFmt w:val="bullet"/>
      <w:lvlText w:val=""/>
      <w:lvlJc w:val="left"/>
      <w:pPr>
        <w:ind w:left="720" w:hanging="360"/>
      </w:pPr>
      <w:rPr>
        <w:rFonts w:ascii="Symbol" w:eastAsia="Symbol" w:hAnsi="Symbol" w:cs="Symbol"/>
      </w:rPr>
    </w:lvl>
    <w:lvl w:ilvl="2">
      <w:start w:val="1"/>
      <w:numFmt w:val="bullet"/>
      <w:lvlText w:val=""/>
      <w:lvlJc w:val="left"/>
      <w:pPr>
        <w:ind w:left="720" w:hanging="360"/>
      </w:pPr>
      <w:rPr>
        <w:rFonts w:ascii="Symbol" w:eastAsia="Symbol" w:hAnsi="Symbol" w:cs="Symbol"/>
      </w:rPr>
    </w:lvl>
    <w:lvl w:ilvl="3">
      <w:start w:val="1"/>
      <w:numFmt w:val="bullet"/>
      <w:lvlText w:val=""/>
      <w:lvlJc w:val="left"/>
      <w:pPr>
        <w:ind w:left="720" w:hanging="360"/>
      </w:pPr>
      <w:rPr>
        <w:rFonts w:ascii="Symbol" w:eastAsia="Symbol" w:hAnsi="Symbol" w:cs="Symbol"/>
      </w:rPr>
    </w:lvl>
    <w:lvl w:ilvl="4">
      <w:start w:val="1"/>
      <w:numFmt w:val="bullet"/>
      <w:lvlText w:val=""/>
      <w:lvlJc w:val="left"/>
      <w:pPr>
        <w:ind w:left="720" w:hanging="360"/>
      </w:pPr>
      <w:rPr>
        <w:rFonts w:ascii="Symbol" w:eastAsia="Symbol" w:hAnsi="Symbol" w:cs="Symbol"/>
      </w:rPr>
    </w:lvl>
    <w:lvl w:ilvl="5">
      <w:start w:val="1"/>
      <w:numFmt w:val="bullet"/>
      <w:lvlText w:val=""/>
      <w:lvlJc w:val="left"/>
      <w:pPr>
        <w:ind w:left="720" w:hanging="360"/>
      </w:pPr>
      <w:rPr>
        <w:rFonts w:ascii="Symbol" w:eastAsia="Symbol" w:hAnsi="Symbol" w:cs="Symbol"/>
      </w:rPr>
    </w:lvl>
    <w:lvl w:ilvl="6">
      <w:start w:val="1"/>
      <w:numFmt w:val="bullet"/>
      <w:lvlText w:val=""/>
      <w:lvlJc w:val="left"/>
      <w:pPr>
        <w:ind w:left="720" w:hanging="360"/>
      </w:pPr>
      <w:rPr>
        <w:rFonts w:ascii="Symbol" w:eastAsia="Symbol" w:hAnsi="Symbol" w:cs="Symbol"/>
      </w:rPr>
    </w:lvl>
    <w:lvl w:ilvl="7">
      <w:start w:val="1"/>
      <w:numFmt w:val="bullet"/>
      <w:lvlText w:val=""/>
      <w:lvlJc w:val="left"/>
      <w:pPr>
        <w:ind w:left="720" w:hanging="360"/>
      </w:pPr>
      <w:rPr>
        <w:rFonts w:ascii="Symbol" w:eastAsia="Symbol" w:hAnsi="Symbol" w:cs="Symbol"/>
      </w:rPr>
    </w:lvl>
    <w:lvl w:ilvl="8">
      <w:start w:val="1"/>
      <w:numFmt w:val="bullet"/>
      <w:lvlText w:val=""/>
      <w:lvlJc w:val="left"/>
      <w:pPr>
        <w:ind w:left="720" w:hanging="360"/>
      </w:pPr>
      <w:rPr>
        <w:rFonts w:ascii="Symbol" w:eastAsia="Symbol" w:hAnsi="Symbol" w:cs="Symbol"/>
      </w:rPr>
    </w:lvl>
  </w:abstractNum>
  <w:abstractNum w:abstractNumId="30" w15:restartNumberingAfterBreak="0">
    <w:nsid w:val="77CB01BF"/>
    <w:multiLevelType w:val="multilevel"/>
    <w:tmpl w:val="6A0CEEE4"/>
    <w:lvl w:ilvl="0">
      <w:start w:val="1"/>
      <w:numFmt w:val="bullet"/>
      <w:lvlText w:val=""/>
      <w:lvlJc w:val="left"/>
      <w:pPr>
        <w:ind w:left="1080" w:hanging="360"/>
      </w:pPr>
      <w:rPr>
        <w:rFonts w:ascii="Symbol" w:eastAsia="Symbol" w:hAnsi="Symbol" w:cs="Symbol"/>
      </w:rPr>
    </w:lvl>
    <w:lvl w:ilvl="1">
      <w:start w:val="1"/>
      <w:numFmt w:val="bullet"/>
      <w:lvlText w:val=""/>
      <w:lvlJc w:val="left"/>
      <w:pPr>
        <w:ind w:left="1080" w:hanging="360"/>
      </w:pPr>
      <w:rPr>
        <w:rFonts w:ascii="Symbol" w:eastAsia="Symbol" w:hAnsi="Symbol" w:cs="Symbol"/>
      </w:rPr>
    </w:lvl>
    <w:lvl w:ilvl="2">
      <w:start w:val="1"/>
      <w:numFmt w:val="bullet"/>
      <w:lvlText w:val=""/>
      <w:lvlJc w:val="left"/>
      <w:pPr>
        <w:ind w:left="1080" w:hanging="360"/>
      </w:pPr>
      <w:rPr>
        <w:rFonts w:ascii="Symbol" w:eastAsia="Symbol" w:hAnsi="Symbol" w:cs="Symbol"/>
      </w:rPr>
    </w:lvl>
    <w:lvl w:ilvl="3">
      <w:start w:val="1"/>
      <w:numFmt w:val="bullet"/>
      <w:lvlText w:val=""/>
      <w:lvlJc w:val="left"/>
      <w:pPr>
        <w:ind w:left="1080" w:hanging="360"/>
      </w:pPr>
      <w:rPr>
        <w:rFonts w:ascii="Symbol" w:eastAsia="Symbol" w:hAnsi="Symbol" w:cs="Symbol"/>
      </w:rPr>
    </w:lvl>
    <w:lvl w:ilvl="4">
      <w:start w:val="1"/>
      <w:numFmt w:val="bullet"/>
      <w:lvlText w:val=""/>
      <w:lvlJc w:val="left"/>
      <w:pPr>
        <w:ind w:left="1080" w:hanging="360"/>
      </w:pPr>
      <w:rPr>
        <w:rFonts w:ascii="Symbol" w:eastAsia="Symbol" w:hAnsi="Symbol" w:cs="Symbol"/>
      </w:rPr>
    </w:lvl>
    <w:lvl w:ilvl="5">
      <w:start w:val="1"/>
      <w:numFmt w:val="bullet"/>
      <w:lvlText w:val=""/>
      <w:lvlJc w:val="left"/>
      <w:pPr>
        <w:ind w:left="1080" w:hanging="360"/>
      </w:pPr>
      <w:rPr>
        <w:rFonts w:ascii="Symbol" w:eastAsia="Symbol" w:hAnsi="Symbol" w:cs="Symbol"/>
      </w:rPr>
    </w:lvl>
    <w:lvl w:ilvl="6">
      <w:start w:val="1"/>
      <w:numFmt w:val="bullet"/>
      <w:lvlText w:val=""/>
      <w:lvlJc w:val="left"/>
      <w:pPr>
        <w:ind w:left="1080" w:hanging="360"/>
      </w:pPr>
      <w:rPr>
        <w:rFonts w:ascii="Symbol" w:eastAsia="Symbol" w:hAnsi="Symbol" w:cs="Symbol"/>
      </w:rPr>
    </w:lvl>
    <w:lvl w:ilvl="7">
      <w:start w:val="1"/>
      <w:numFmt w:val="bullet"/>
      <w:lvlText w:val=""/>
      <w:lvlJc w:val="left"/>
      <w:pPr>
        <w:ind w:left="1080" w:hanging="360"/>
      </w:pPr>
      <w:rPr>
        <w:rFonts w:ascii="Symbol" w:eastAsia="Symbol" w:hAnsi="Symbol" w:cs="Symbol"/>
      </w:rPr>
    </w:lvl>
    <w:lvl w:ilvl="8">
      <w:start w:val="1"/>
      <w:numFmt w:val="bullet"/>
      <w:lvlText w:val=""/>
      <w:lvlJc w:val="left"/>
      <w:pPr>
        <w:ind w:left="1080" w:hanging="360"/>
      </w:pPr>
      <w:rPr>
        <w:rFonts w:ascii="Symbol" w:eastAsia="Symbol" w:hAnsi="Symbol" w:cs="Symbol"/>
      </w:rPr>
    </w:lvl>
  </w:abstractNum>
  <w:abstractNum w:abstractNumId="31" w15:restartNumberingAfterBreak="0">
    <w:nsid w:val="789F3F7A"/>
    <w:multiLevelType w:val="multilevel"/>
    <w:tmpl w:val="FF6681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07457846">
    <w:abstractNumId w:val="23"/>
  </w:num>
  <w:num w:numId="2" w16cid:durableId="1827210806">
    <w:abstractNumId w:val="15"/>
  </w:num>
  <w:num w:numId="3" w16cid:durableId="402607871">
    <w:abstractNumId w:val="8"/>
  </w:num>
  <w:num w:numId="4" w16cid:durableId="1517184385">
    <w:abstractNumId w:val="27"/>
  </w:num>
  <w:num w:numId="5" w16cid:durableId="546602057">
    <w:abstractNumId w:val="19"/>
  </w:num>
  <w:num w:numId="6" w16cid:durableId="883638759">
    <w:abstractNumId w:val="28"/>
  </w:num>
  <w:num w:numId="7" w16cid:durableId="346105957">
    <w:abstractNumId w:val="11"/>
  </w:num>
  <w:num w:numId="8" w16cid:durableId="29229725">
    <w:abstractNumId w:val="4"/>
  </w:num>
  <w:num w:numId="9" w16cid:durableId="158038456">
    <w:abstractNumId w:val="2"/>
  </w:num>
  <w:num w:numId="10" w16cid:durableId="1600988577">
    <w:abstractNumId w:val="7"/>
  </w:num>
  <w:num w:numId="11" w16cid:durableId="441606166">
    <w:abstractNumId w:val="12"/>
  </w:num>
  <w:num w:numId="12" w16cid:durableId="1199973731">
    <w:abstractNumId w:val="3"/>
  </w:num>
  <w:num w:numId="13" w16cid:durableId="1302735836">
    <w:abstractNumId w:val="25"/>
  </w:num>
  <w:num w:numId="14" w16cid:durableId="2040887968">
    <w:abstractNumId w:val="6"/>
  </w:num>
  <w:num w:numId="15" w16cid:durableId="156501908">
    <w:abstractNumId w:val="9"/>
  </w:num>
  <w:num w:numId="16" w16cid:durableId="1832600735">
    <w:abstractNumId w:val="14"/>
  </w:num>
  <w:num w:numId="17" w16cid:durableId="497308889">
    <w:abstractNumId w:val="24"/>
  </w:num>
  <w:num w:numId="18" w16cid:durableId="14618707">
    <w:abstractNumId w:val="30"/>
  </w:num>
  <w:num w:numId="19" w16cid:durableId="761609544">
    <w:abstractNumId w:val="29"/>
  </w:num>
  <w:num w:numId="20" w16cid:durableId="1403720329">
    <w:abstractNumId w:val="18"/>
  </w:num>
  <w:num w:numId="21" w16cid:durableId="1114909630">
    <w:abstractNumId w:val="26"/>
  </w:num>
  <w:num w:numId="22" w16cid:durableId="1906455962">
    <w:abstractNumId w:val="31"/>
  </w:num>
  <w:num w:numId="23" w16cid:durableId="1854880450">
    <w:abstractNumId w:val="16"/>
  </w:num>
  <w:num w:numId="24" w16cid:durableId="197620986">
    <w:abstractNumId w:val="10"/>
  </w:num>
  <w:num w:numId="25" w16cid:durableId="2037264524">
    <w:abstractNumId w:val="21"/>
  </w:num>
  <w:num w:numId="26" w16cid:durableId="698240823">
    <w:abstractNumId w:val="17"/>
  </w:num>
  <w:num w:numId="27" w16cid:durableId="649134962">
    <w:abstractNumId w:val="5"/>
  </w:num>
  <w:num w:numId="28" w16cid:durableId="896667264">
    <w:abstractNumId w:val="0"/>
  </w:num>
  <w:num w:numId="29" w16cid:durableId="543757812">
    <w:abstractNumId w:val="13"/>
  </w:num>
  <w:num w:numId="30" w16cid:durableId="706838485">
    <w:abstractNumId w:val="20"/>
  </w:num>
  <w:num w:numId="31" w16cid:durableId="1762141131">
    <w:abstractNumId w:val="22"/>
  </w:num>
  <w:num w:numId="32" w16cid:durableId="95833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6E"/>
    <w:rsid w:val="00004728"/>
    <w:rsid w:val="000125DD"/>
    <w:rsid w:val="000134B2"/>
    <w:rsid w:val="000156C9"/>
    <w:rsid w:val="00017630"/>
    <w:rsid w:val="00020154"/>
    <w:rsid w:val="0002103F"/>
    <w:rsid w:val="00022373"/>
    <w:rsid w:val="00045206"/>
    <w:rsid w:val="00053488"/>
    <w:rsid w:val="000540AE"/>
    <w:rsid w:val="0006270F"/>
    <w:rsid w:val="000801F4"/>
    <w:rsid w:val="00080713"/>
    <w:rsid w:val="00080A76"/>
    <w:rsid w:val="0008313F"/>
    <w:rsid w:val="00085647"/>
    <w:rsid w:val="00085B27"/>
    <w:rsid w:val="00085BB8"/>
    <w:rsid w:val="00085CA6"/>
    <w:rsid w:val="00092F6A"/>
    <w:rsid w:val="0009710B"/>
    <w:rsid w:val="000B01B1"/>
    <w:rsid w:val="000C4378"/>
    <w:rsid w:val="000D07EC"/>
    <w:rsid w:val="000D48A6"/>
    <w:rsid w:val="000D7095"/>
    <w:rsid w:val="000E0CE0"/>
    <w:rsid w:val="000E1961"/>
    <w:rsid w:val="000F1298"/>
    <w:rsid w:val="000F2B39"/>
    <w:rsid w:val="000F3F1E"/>
    <w:rsid w:val="000F5BFD"/>
    <w:rsid w:val="00100EAF"/>
    <w:rsid w:val="00101477"/>
    <w:rsid w:val="00104983"/>
    <w:rsid w:val="00105A69"/>
    <w:rsid w:val="00106FD7"/>
    <w:rsid w:val="00117C51"/>
    <w:rsid w:val="00123CE6"/>
    <w:rsid w:val="001251A1"/>
    <w:rsid w:val="001261C7"/>
    <w:rsid w:val="00136B6F"/>
    <w:rsid w:val="001373B1"/>
    <w:rsid w:val="001714E8"/>
    <w:rsid w:val="00174153"/>
    <w:rsid w:val="00174C28"/>
    <w:rsid w:val="001750A1"/>
    <w:rsid w:val="0018322A"/>
    <w:rsid w:val="001932E6"/>
    <w:rsid w:val="00194EFF"/>
    <w:rsid w:val="001967BE"/>
    <w:rsid w:val="001B5607"/>
    <w:rsid w:val="001C152F"/>
    <w:rsid w:val="001C3C22"/>
    <w:rsid w:val="001C4D68"/>
    <w:rsid w:val="001C6B68"/>
    <w:rsid w:val="001D0E2A"/>
    <w:rsid w:val="001D5CC4"/>
    <w:rsid w:val="001F01EF"/>
    <w:rsid w:val="001F025A"/>
    <w:rsid w:val="001F2445"/>
    <w:rsid w:val="001F2E76"/>
    <w:rsid w:val="002035BE"/>
    <w:rsid w:val="00205C29"/>
    <w:rsid w:val="002227E5"/>
    <w:rsid w:val="00225479"/>
    <w:rsid w:val="00232F3E"/>
    <w:rsid w:val="0023687B"/>
    <w:rsid w:val="002412A3"/>
    <w:rsid w:val="00244C63"/>
    <w:rsid w:val="00247FDB"/>
    <w:rsid w:val="00256171"/>
    <w:rsid w:val="00261D52"/>
    <w:rsid w:val="002639BB"/>
    <w:rsid w:val="002650F8"/>
    <w:rsid w:val="002810A4"/>
    <w:rsid w:val="00282DDF"/>
    <w:rsid w:val="002912A1"/>
    <w:rsid w:val="00294BCA"/>
    <w:rsid w:val="002974ED"/>
    <w:rsid w:val="002A010C"/>
    <w:rsid w:val="002A027A"/>
    <w:rsid w:val="002B15BF"/>
    <w:rsid w:val="002B2C57"/>
    <w:rsid w:val="002B3DAD"/>
    <w:rsid w:val="002C38E2"/>
    <w:rsid w:val="00305E3C"/>
    <w:rsid w:val="00315106"/>
    <w:rsid w:val="00321FF3"/>
    <w:rsid w:val="003257A5"/>
    <w:rsid w:val="00330914"/>
    <w:rsid w:val="00341D3D"/>
    <w:rsid w:val="0034276E"/>
    <w:rsid w:val="003513CF"/>
    <w:rsid w:val="003703F9"/>
    <w:rsid w:val="00371061"/>
    <w:rsid w:val="00371310"/>
    <w:rsid w:val="003821EC"/>
    <w:rsid w:val="003A6E81"/>
    <w:rsid w:val="003A752E"/>
    <w:rsid w:val="003B3812"/>
    <w:rsid w:val="003C58A9"/>
    <w:rsid w:val="003C5A44"/>
    <w:rsid w:val="003D2556"/>
    <w:rsid w:val="003D346D"/>
    <w:rsid w:val="003D5F3F"/>
    <w:rsid w:val="003D6444"/>
    <w:rsid w:val="003E63F8"/>
    <w:rsid w:val="003F7937"/>
    <w:rsid w:val="004015EE"/>
    <w:rsid w:val="00402749"/>
    <w:rsid w:val="00411F6B"/>
    <w:rsid w:val="00413DCB"/>
    <w:rsid w:val="004153FE"/>
    <w:rsid w:val="00416BBF"/>
    <w:rsid w:val="00432F68"/>
    <w:rsid w:val="004400F8"/>
    <w:rsid w:val="00443153"/>
    <w:rsid w:val="00445BF8"/>
    <w:rsid w:val="004504D5"/>
    <w:rsid w:val="0045180C"/>
    <w:rsid w:val="004553E0"/>
    <w:rsid w:val="00457344"/>
    <w:rsid w:val="004705BE"/>
    <w:rsid w:val="00470A73"/>
    <w:rsid w:val="00472E37"/>
    <w:rsid w:val="004754F8"/>
    <w:rsid w:val="004765FF"/>
    <w:rsid w:val="00493DB7"/>
    <w:rsid w:val="0049553B"/>
    <w:rsid w:val="0049596B"/>
    <w:rsid w:val="00496863"/>
    <w:rsid w:val="004A147D"/>
    <w:rsid w:val="004B0D69"/>
    <w:rsid w:val="004B3EB1"/>
    <w:rsid w:val="004B43E6"/>
    <w:rsid w:val="004C04D3"/>
    <w:rsid w:val="004C18D2"/>
    <w:rsid w:val="004C3367"/>
    <w:rsid w:val="004D4581"/>
    <w:rsid w:val="004D4A61"/>
    <w:rsid w:val="004D71D8"/>
    <w:rsid w:val="004F0D27"/>
    <w:rsid w:val="004F2C8F"/>
    <w:rsid w:val="004F373B"/>
    <w:rsid w:val="004F430C"/>
    <w:rsid w:val="004F5BFA"/>
    <w:rsid w:val="0051062D"/>
    <w:rsid w:val="00512709"/>
    <w:rsid w:val="00513A5A"/>
    <w:rsid w:val="005268FA"/>
    <w:rsid w:val="00526C1B"/>
    <w:rsid w:val="00533543"/>
    <w:rsid w:val="00552493"/>
    <w:rsid w:val="00561368"/>
    <w:rsid w:val="00562784"/>
    <w:rsid w:val="005650E5"/>
    <w:rsid w:val="005661F6"/>
    <w:rsid w:val="0057162F"/>
    <w:rsid w:val="0057454D"/>
    <w:rsid w:val="00575BA5"/>
    <w:rsid w:val="00582B46"/>
    <w:rsid w:val="00585F60"/>
    <w:rsid w:val="00587B6A"/>
    <w:rsid w:val="00587BAE"/>
    <w:rsid w:val="005905BE"/>
    <w:rsid w:val="00597FDC"/>
    <w:rsid w:val="005A2E3F"/>
    <w:rsid w:val="005A6BEB"/>
    <w:rsid w:val="005B0D5F"/>
    <w:rsid w:val="005B1928"/>
    <w:rsid w:val="005B52D8"/>
    <w:rsid w:val="005C5D1D"/>
    <w:rsid w:val="005D0240"/>
    <w:rsid w:val="005D2CF2"/>
    <w:rsid w:val="005D3FFF"/>
    <w:rsid w:val="005D4599"/>
    <w:rsid w:val="005D4C85"/>
    <w:rsid w:val="005D7FC2"/>
    <w:rsid w:val="005E2FEA"/>
    <w:rsid w:val="005E32B4"/>
    <w:rsid w:val="005E5F01"/>
    <w:rsid w:val="006005FB"/>
    <w:rsid w:val="00604800"/>
    <w:rsid w:val="0060554F"/>
    <w:rsid w:val="00612721"/>
    <w:rsid w:val="006141FB"/>
    <w:rsid w:val="00617B0E"/>
    <w:rsid w:val="00622C0D"/>
    <w:rsid w:val="00623803"/>
    <w:rsid w:val="006419A4"/>
    <w:rsid w:val="00653221"/>
    <w:rsid w:val="00653A02"/>
    <w:rsid w:val="00655DAC"/>
    <w:rsid w:val="00656851"/>
    <w:rsid w:val="00670587"/>
    <w:rsid w:val="0067275E"/>
    <w:rsid w:val="006728B0"/>
    <w:rsid w:val="00676C62"/>
    <w:rsid w:val="00680128"/>
    <w:rsid w:val="006844E5"/>
    <w:rsid w:val="00692757"/>
    <w:rsid w:val="006930EC"/>
    <w:rsid w:val="006A1488"/>
    <w:rsid w:val="006A1E26"/>
    <w:rsid w:val="006A4FFB"/>
    <w:rsid w:val="006B1FEC"/>
    <w:rsid w:val="006B510F"/>
    <w:rsid w:val="006B597C"/>
    <w:rsid w:val="006C1A1E"/>
    <w:rsid w:val="006C28AD"/>
    <w:rsid w:val="006C3FC6"/>
    <w:rsid w:val="006D4938"/>
    <w:rsid w:val="006D5961"/>
    <w:rsid w:val="006E11E5"/>
    <w:rsid w:val="006F5AA3"/>
    <w:rsid w:val="00710C09"/>
    <w:rsid w:val="00713617"/>
    <w:rsid w:val="00721338"/>
    <w:rsid w:val="00721786"/>
    <w:rsid w:val="007304A1"/>
    <w:rsid w:val="00735951"/>
    <w:rsid w:val="00736117"/>
    <w:rsid w:val="007423C6"/>
    <w:rsid w:val="00745D1F"/>
    <w:rsid w:val="0075122A"/>
    <w:rsid w:val="007540FD"/>
    <w:rsid w:val="0075729B"/>
    <w:rsid w:val="0076517A"/>
    <w:rsid w:val="00765311"/>
    <w:rsid w:val="00773074"/>
    <w:rsid w:val="00773226"/>
    <w:rsid w:val="00773A11"/>
    <w:rsid w:val="00774398"/>
    <w:rsid w:val="00776937"/>
    <w:rsid w:val="00776D44"/>
    <w:rsid w:val="007853E8"/>
    <w:rsid w:val="007948B0"/>
    <w:rsid w:val="00795471"/>
    <w:rsid w:val="007A00D3"/>
    <w:rsid w:val="007A68CB"/>
    <w:rsid w:val="007B1950"/>
    <w:rsid w:val="007C58B8"/>
    <w:rsid w:val="007C783D"/>
    <w:rsid w:val="007C7E1D"/>
    <w:rsid w:val="007D0D8A"/>
    <w:rsid w:val="007D2BE6"/>
    <w:rsid w:val="007D6012"/>
    <w:rsid w:val="007E2C30"/>
    <w:rsid w:val="007F302C"/>
    <w:rsid w:val="007F3A1D"/>
    <w:rsid w:val="007F4126"/>
    <w:rsid w:val="00802D4D"/>
    <w:rsid w:val="00815674"/>
    <w:rsid w:val="00817D25"/>
    <w:rsid w:val="00817F1C"/>
    <w:rsid w:val="00820BD4"/>
    <w:rsid w:val="008313B9"/>
    <w:rsid w:val="00834514"/>
    <w:rsid w:val="0083574A"/>
    <w:rsid w:val="00846C2C"/>
    <w:rsid w:val="008472F2"/>
    <w:rsid w:val="0085581E"/>
    <w:rsid w:val="00855E6A"/>
    <w:rsid w:val="00856544"/>
    <w:rsid w:val="00857B37"/>
    <w:rsid w:val="008605EB"/>
    <w:rsid w:val="00870A68"/>
    <w:rsid w:val="00871CC5"/>
    <w:rsid w:val="008727DB"/>
    <w:rsid w:val="008815D3"/>
    <w:rsid w:val="00885203"/>
    <w:rsid w:val="0089378A"/>
    <w:rsid w:val="00893C00"/>
    <w:rsid w:val="008A0A45"/>
    <w:rsid w:val="008A5A11"/>
    <w:rsid w:val="008A76D7"/>
    <w:rsid w:val="008B1D2E"/>
    <w:rsid w:val="008B6F39"/>
    <w:rsid w:val="008B7856"/>
    <w:rsid w:val="008C182F"/>
    <w:rsid w:val="008D2A97"/>
    <w:rsid w:val="008D705F"/>
    <w:rsid w:val="008E7C99"/>
    <w:rsid w:val="008F157D"/>
    <w:rsid w:val="008F688A"/>
    <w:rsid w:val="00906513"/>
    <w:rsid w:val="009105B4"/>
    <w:rsid w:val="00910F9D"/>
    <w:rsid w:val="00911F7D"/>
    <w:rsid w:val="00922882"/>
    <w:rsid w:val="0092554D"/>
    <w:rsid w:val="009258B3"/>
    <w:rsid w:val="00931A82"/>
    <w:rsid w:val="0093213D"/>
    <w:rsid w:val="00933499"/>
    <w:rsid w:val="009344CC"/>
    <w:rsid w:val="00935F3D"/>
    <w:rsid w:val="00941AE0"/>
    <w:rsid w:val="00941D1E"/>
    <w:rsid w:val="00944EA8"/>
    <w:rsid w:val="0095218C"/>
    <w:rsid w:val="0095414F"/>
    <w:rsid w:val="00957DDF"/>
    <w:rsid w:val="00961EAD"/>
    <w:rsid w:val="0096219A"/>
    <w:rsid w:val="0096350A"/>
    <w:rsid w:val="00966605"/>
    <w:rsid w:val="009803BA"/>
    <w:rsid w:val="00981D4E"/>
    <w:rsid w:val="00982AD4"/>
    <w:rsid w:val="00983786"/>
    <w:rsid w:val="009955BF"/>
    <w:rsid w:val="009A1175"/>
    <w:rsid w:val="009B1E05"/>
    <w:rsid w:val="009B354C"/>
    <w:rsid w:val="009B5FD3"/>
    <w:rsid w:val="009B6454"/>
    <w:rsid w:val="009C6685"/>
    <w:rsid w:val="009D21B4"/>
    <w:rsid w:val="009D5197"/>
    <w:rsid w:val="009E0D53"/>
    <w:rsid w:val="009E1FA5"/>
    <w:rsid w:val="009E5606"/>
    <w:rsid w:val="009E7F44"/>
    <w:rsid w:val="009F1C46"/>
    <w:rsid w:val="009F5B92"/>
    <w:rsid w:val="009F5C79"/>
    <w:rsid w:val="00A05D96"/>
    <w:rsid w:val="00A12A32"/>
    <w:rsid w:val="00A161C9"/>
    <w:rsid w:val="00A22CFF"/>
    <w:rsid w:val="00A241E5"/>
    <w:rsid w:val="00A25136"/>
    <w:rsid w:val="00A30A46"/>
    <w:rsid w:val="00A35BF4"/>
    <w:rsid w:val="00A4005C"/>
    <w:rsid w:val="00A42DB3"/>
    <w:rsid w:val="00A43D6E"/>
    <w:rsid w:val="00A44382"/>
    <w:rsid w:val="00A45100"/>
    <w:rsid w:val="00A52AFA"/>
    <w:rsid w:val="00A57C1F"/>
    <w:rsid w:val="00A606F1"/>
    <w:rsid w:val="00A62A97"/>
    <w:rsid w:val="00A62C0C"/>
    <w:rsid w:val="00A66AAF"/>
    <w:rsid w:val="00A72E8F"/>
    <w:rsid w:val="00A77588"/>
    <w:rsid w:val="00A77A59"/>
    <w:rsid w:val="00A81072"/>
    <w:rsid w:val="00A90184"/>
    <w:rsid w:val="00A909ED"/>
    <w:rsid w:val="00A922DA"/>
    <w:rsid w:val="00AA2EED"/>
    <w:rsid w:val="00AA5F1A"/>
    <w:rsid w:val="00AA60B1"/>
    <w:rsid w:val="00AB46BC"/>
    <w:rsid w:val="00AC07FC"/>
    <w:rsid w:val="00AD2709"/>
    <w:rsid w:val="00AD649C"/>
    <w:rsid w:val="00AE2347"/>
    <w:rsid w:val="00AF5D2F"/>
    <w:rsid w:val="00B06475"/>
    <w:rsid w:val="00B13A7B"/>
    <w:rsid w:val="00B1762C"/>
    <w:rsid w:val="00B271B3"/>
    <w:rsid w:val="00B316CE"/>
    <w:rsid w:val="00B34058"/>
    <w:rsid w:val="00B36103"/>
    <w:rsid w:val="00B406AE"/>
    <w:rsid w:val="00B44230"/>
    <w:rsid w:val="00B5386F"/>
    <w:rsid w:val="00B53C04"/>
    <w:rsid w:val="00B557EF"/>
    <w:rsid w:val="00B721C1"/>
    <w:rsid w:val="00B775EA"/>
    <w:rsid w:val="00B808AC"/>
    <w:rsid w:val="00B8431A"/>
    <w:rsid w:val="00B84BC0"/>
    <w:rsid w:val="00BA54F1"/>
    <w:rsid w:val="00BA5C89"/>
    <w:rsid w:val="00BA6969"/>
    <w:rsid w:val="00BC200B"/>
    <w:rsid w:val="00BD2DDB"/>
    <w:rsid w:val="00BD4066"/>
    <w:rsid w:val="00BE4D59"/>
    <w:rsid w:val="00BF0EC4"/>
    <w:rsid w:val="00BF3A3A"/>
    <w:rsid w:val="00BF6712"/>
    <w:rsid w:val="00C04B9E"/>
    <w:rsid w:val="00C05BBA"/>
    <w:rsid w:val="00C14239"/>
    <w:rsid w:val="00C148D3"/>
    <w:rsid w:val="00C26190"/>
    <w:rsid w:val="00C275C3"/>
    <w:rsid w:val="00C32931"/>
    <w:rsid w:val="00C334BC"/>
    <w:rsid w:val="00C43910"/>
    <w:rsid w:val="00C44CE6"/>
    <w:rsid w:val="00C56FAC"/>
    <w:rsid w:val="00C653D3"/>
    <w:rsid w:val="00C74DC3"/>
    <w:rsid w:val="00C80537"/>
    <w:rsid w:val="00C93C28"/>
    <w:rsid w:val="00C95795"/>
    <w:rsid w:val="00C95FC3"/>
    <w:rsid w:val="00C96D6A"/>
    <w:rsid w:val="00CA1FB7"/>
    <w:rsid w:val="00CA33FF"/>
    <w:rsid w:val="00CB70A4"/>
    <w:rsid w:val="00CE5A0D"/>
    <w:rsid w:val="00CE652E"/>
    <w:rsid w:val="00CF2DBF"/>
    <w:rsid w:val="00CF63D4"/>
    <w:rsid w:val="00CF6591"/>
    <w:rsid w:val="00CF7C84"/>
    <w:rsid w:val="00D04046"/>
    <w:rsid w:val="00D13C89"/>
    <w:rsid w:val="00D162AB"/>
    <w:rsid w:val="00D213B9"/>
    <w:rsid w:val="00D22456"/>
    <w:rsid w:val="00D30A16"/>
    <w:rsid w:val="00D35397"/>
    <w:rsid w:val="00D356C1"/>
    <w:rsid w:val="00D37651"/>
    <w:rsid w:val="00D41246"/>
    <w:rsid w:val="00D43369"/>
    <w:rsid w:val="00D51160"/>
    <w:rsid w:val="00D51345"/>
    <w:rsid w:val="00D53BCC"/>
    <w:rsid w:val="00D53FE3"/>
    <w:rsid w:val="00D64B85"/>
    <w:rsid w:val="00D67FBB"/>
    <w:rsid w:val="00D7285B"/>
    <w:rsid w:val="00D75497"/>
    <w:rsid w:val="00D75D71"/>
    <w:rsid w:val="00D8484B"/>
    <w:rsid w:val="00D922AE"/>
    <w:rsid w:val="00D9465C"/>
    <w:rsid w:val="00D96EEF"/>
    <w:rsid w:val="00DA0874"/>
    <w:rsid w:val="00DB483C"/>
    <w:rsid w:val="00DB7503"/>
    <w:rsid w:val="00DC56B5"/>
    <w:rsid w:val="00DD1F3F"/>
    <w:rsid w:val="00DD5B49"/>
    <w:rsid w:val="00DD67B7"/>
    <w:rsid w:val="00DD73B9"/>
    <w:rsid w:val="00DE3829"/>
    <w:rsid w:val="00DF0D79"/>
    <w:rsid w:val="00DF334B"/>
    <w:rsid w:val="00DF36B2"/>
    <w:rsid w:val="00DF3AC9"/>
    <w:rsid w:val="00DF6C80"/>
    <w:rsid w:val="00E07301"/>
    <w:rsid w:val="00E11754"/>
    <w:rsid w:val="00E11D0E"/>
    <w:rsid w:val="00E1496F"/>
    <w:rsid w:val="00E1577D"/>
    <w:rsid w:val="00E21505"/>
    <w:rsid w:val="00E2163E"/>
    <w:rsid w:val="00E37E1A"/>
    <w:rsid w:val="00E40384"/>
    <w:rsid w:val="00E47604"/>
    <w:rsid w:val="00E52259"/>
    <w:rsid w:val="00E523DA"/>
    <w:rsid w:val="00E71271"/>
    <w:rsid w:val="00E735E5"/>
    <w:rsid w:val="00E8263C"/>
    <w:rsid w:val="00E865CC"/>
    <w:rsid w:val="00E874E2"/>
    <w:rsid w:val="00E90665"/>
    <w:rsid w:val="00E91D52"/>
    <w:rsid w:val="00E95E14"/>
    <w:rsid w:val="00E96B00"/>
    <w:rsid w:val="00E974D3"/>
    <w:rsid w:val="00EB06D0"/>
    <w:rsid w:val="00EB3CA0"/>
    <w:rsid w:val="00EC756D"/>
    <w:rsid w:val="00ED53AA"/>
    <w:rsid w:val="00EE0034"/>
    <w:rsid w:val="00EE3CF0"/>
    <w:rsid w:val="00F02F1F"/>
    <w:rsid w:val="00F039F6"/>
    <w:rsid w:val="00F060AB"/>
    <w:rsid w:val="00F13E91"/>
    <w:rsid w:val="00F16245"/>
    <w:rsid w:val="00F30629"/>
    <w:rsid w:val="00F30C08"/>
    <w:rsid w:val="00F33CE8"/>
    <w:rsid w:val="00F36CA1"/>
    <w:rsid w:val="00F4735D"/>
    <w:rsid w:val="00F52377"/>
    <w:rsid w:val="00F5297D"/>
    <w:rsid w:val="00F5515A"/>
    <w:rsid w:val="00F563D2"/>
    <w:rsid w:val="00F56C8A"/>
    <w:rsid w:val="00F607A7"/>
    <w:rsid w:val="00F60FCB"/>
    <w:rsid w:val="00F6471E"/>
    <w:rsid w:val="00F64839"/>
    <w:rsid w:val="00F7067F"/>
    <w:rsid w:val="00F77963"/>
    <w:rsid w:val="00FB0E36"/>
    <w:rsid w:val="00FD502A"/>
    <w:rsid w:val="00FD679A"/>
    <w:rsid w:val="00FE006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caption" w:uiPriority="35"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20" w:line="360" w:lineRule="auto"/>
      <w:jc w:val="both"/>
    </w:pPr>
  </w:style>
  <w:style w:type="paragraph" w:styleId="1">
    <w:name w:val="heading 1"/>
    <w:basedOn w:val="a"/>
    <w:qFormat/>
    <w:pPr>
      <w:keepNext/>
      <w:keepLines/>
      <w:spacing w:before="240" w:after="0"/>
      <w:outlineLvl w:val="0"/>
    </w:pPr>
    <w:rPr>
      <w:rFonts w:ascii="Calibri Light" w:eastAsia="Calibri Light" w:hAnsi="Calibri Light" w:cs="Calibri Light"/>
      <w:color w:val="2E74B5"/>
      <w:sz w:val="32"/>
    </w:rPr>
  </w:style>
  <w:style w:type="paragraph" w:styleId="2">
    <w:name w:val="heading 2"/>
    <w:basedOn w:val="a"/>
    <w:qFormat/>
    <w:pPr>
      <w:keepNext/>
      <w:keepLines/>
      <w:spacing w:before="40" w:after="0"/>
      <w:outlineLvl w:val="1"/>
    </w:pPr>
    <w:rPr>
      <w:rFonts w:ascii="Calibri Light" w:eastAsia="Calibri Light" w:hAnsi="Calibri Light" w:cs="Calibri Light"/>
      <w:color w:val="2E74B5"/>
      <w:sz w:val="26"/>
    </w:rPr>
  </w:style>
  <w:style w:type="paragraph" w:styleId="3">
    <w:name w:val="heading 3"/>
    <w:basedOn w:val="a"/>
    <w:qFormat/>
    <w:pPr>
      <w:numPr>
        <w:ilvl w:val="2"/>
      </w:numPr>
      <w:spacing w:before="240" w:after="0" w:line="309" w:lineRule="auto"/>
      <w:jc w:val="left"/>
      <w:outlineLvl w:val="2"/>
    </w:pPr>
    <w:rPr>
      <w:rFonts w:ascii="Calibri Light" w:eastAsia="Calibri Light" w:hAnsi="Calibri Light" w:cs="Calibri Light"/>
      <w:b/>
      <w:color w:val="5B89C1"/>
      <w:sz w:val="28"/>
    </w:rPr>
  </w:style>
  <w:style w:type="paragraph" w:styleId="4">
    <w:name w:val="heading 4"/>
    <w:basedOn w:val="a"/>
    <w:pPr>
      <w:keepNext/>
      <w:keepLines/>
      <w:spacing w:before="40" w:after="0"/>
      <w:outlineLvl w:val="3"/>
    </w:pPr>
    <w:rPr>
      <w:rFonts w:ascii="Calibri Light" w:eastAsia="Calibri Light" w:hAnsi="Calibri Light" w:cs="Calibri Light"/>
      <w:i/>
      <w:color w:val="2E74B5"/>
    </w:rPr>
  </w:style>
  <w:style w:type="paragraph" w:styleId="5">
    <w:name w:val="heading 5"/>
    <w:basedOn w:val="a"/>
    <w:pPr>
      <w:keepNext/>
      <w:keepLines/>
      <w:spacing w:before="40" w:after="0"/>
      <w:outlineLvl w:val="4"/>
    </w:pPr>
    <w:rPr>
      <w:rFonts w:ascii="Calibri Light" w:eastAsia="Calibri Light" w:hAnsi="Calibri Light" w:cs="Calibri Light"/>
      <w:color w:val="2E74B5"/>
    </w:rPr>
  </w:style>
  <w:style w:type="paragraph" w:styleId="6">
    <w:name w:val="heading 6"/>
    <w:basedOn w:val="a"/>
    <w:pPr>
      <w:numPr>
        <w:ilvl w:val="5"/>
      </w:numPr>
      <w:spacing w:before="240" w:after="0"/>
      <w:jc w:val="left"/>
      <w:outlineLvl w:val="5"/>
    </w:pPr>
    <w:rPr>
      <w:rFonts w:ascii="Calibri Light" w:eastAsia="Calibri Light" w:hAnsi="Calibri Light" w:cs="Calibri Light"/>
      <w:color w:val="5B89C1"/>
      <w:sz w:val="24"/>
    </w:rPr>
  </w:style>
  <w:style w:type="paragraph" w:styleId="7">
    <w:name w:val="heading 7"/>
    <w:basedOn w:val="a"/>
    <w:pPr>
      <w:numPr>
        <w:ilvl w:val="6"/>
      </w:numPr>
      <w:spacing w:before="240" w:after="0"/>
      <w:jc w:val="left"/>
      <w:outlineLvl w:val="6"/>
    </w:pPr>
    <w:rPr>
      <w:rFonts w:ascii="Calibri Light" w:eastAsia="Calibri Light" w:hAnsi="Calibri Light" w:cs="Calibri Light"/>
      <w:b/>
      <w:color w:val="235683"/>
      <w:sz w:val="22"/>
    </w:rPr>
  </w:style>
  <w:style w:type="paragraph" w:styleId="8">
    <w:name w:val="heading 8"/>
    <w:basedOn w:val="a"/>
    <w:pPr>
      <w:numPr>
        <w:ilvl w:val="7"/>
      </w:numPr>
      <w:spacing w:before="240" w:after="0"/>
      <w:jc w:val="left"/>
      <w:outlineLvl w:val="7"/>
    </w:pPr>
    <w:rPr>
      <w:rFonts w:ascii="Calibri Light" w:eastAsia="Calibri Light" w:hAnsi="Calibri Light" w:cs="Calibri Light"/>
      <w:color w:val="3F6FA2"/>
      <w:sz w:val="22"/>
    </w:rPr>
  </w:style>
  <w:style w:type="paragraph" w:styleId="9">
    <w:name w:val="heading 9"/>
    <w:basedOn w:val="a"/>
    <w:pPr>
      <w:numPr>
        <w:ilvl w:val="8"/>
      </w:numPr>
      <w:spacing w:before="240" w:after="0"/>
      <w:jc w:val="left"/>
      <w:outlineLvl w:val="8"/>
    </w:pPr>
    <w:rPr>
      <w:rFonts w:ascii="Calibri Light" w:eastAsia="Calibri Light" w:hAnsi="Calibri Light" w:cs="Calibri Light"/>
      <w:color w:val="5B89C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sz w:val="24"/>
    </w:rPr>
  </w:style>
  <w:style w:type="paragraph" w:styleId="30">
    <w:name w:val="toc 3"/>
    <w:basedOn w:val="a"/>
    <w:rPr>
      <w:rFonts w:ascii="Calibri" w:eastAsia="Calibri" w:hAnsi="Calibri" w:cs="Calibri"/>
      <w:sz w:val="22"/>
    </w:rPr>
  </w:style>
  <w:style w:type="paragraph" w:styleId="40">
    <w:name w:val="toc 4"/>
    <w:basedOn w:val="a"/>
    <w:pPr>
      <w:spacing w:line="330" w:lineRule="exact"/>
    </w:pPr>
    <w:rPr>
      <w:rFonts w:ascii="Calibri" w:eastAsia="Calibri" w:hAnsi="Calibri" w:cs="Calibri"/>
    </w:rPr>
  </w:style>
  <w:style w:type="paragraph" w:styleId="50">
    <w:name w:val="toc 5"/>
    <w:basedOn w:val="a"/>
    <w:pPr>
      <w:spacing w:line="330" w:lineRule="exact"/>
    </w:pPr>
    <w:rPr>
      <w:rFonts w:ascii="Calibri" w:eastAsia="Calibri" w:hAnsi="Calibri" w:cs="Calibri"/>
    </w:rPr>
  </w:style>
  <w:style w:type="paragraph" w:styleId="60">
    <w:name w:val="toc 6"/>
    <w:basedOn w:val="a"/>
    <w:pPr>
      <w:spacing w:line="330" w:lineRule="exact"/>
    </w:pPr>
    <w:rPr>
      <w:rFonts w:ascii="Calibri" w:eastAsia="Calibri" w:hAnsi="Calibri" w:cs="Calibri"/>
    </w:rPr>
  </w:style>
  <w:style w:type="paragraph" w:styleId="70">
    <w:name w:val="toc 7"/>
    <w:basedOn w:val="a"/>
    <w:pPr>
      <w:spacing w:line="330" w:lineRule="exact"/>
    </w:pPr>
    <w:rPr>
      <w:rFonts w:ascii="Calibri" w:eastAsia="Calibri" w:hAnsi="Calibri" w:cs="Calibri"/>
    </w:rPr>
  </w:style>
  <w:style w:type="paragraph" w:styleId="80">
    <w:name w:val="toc 8"/>
    <w:basedOn w:val="a"/>
    <w:pPr>
      <w:spacing w:line="330" w:lineRule="exact"/>
    </w:pPr>
    <w:rPr>
      <w:rFonts w:ascii="Calibri" w:eastAsia="Calibri" w:hAnsi="Calibri" w:cs="Calibri"/>
    </w:rPr>
  </w:style>
  <w:style w:type="paragraph" w:styleId="90">
    <w:name w:val="toc 9"/>
    <w:basedOn w:val="a"/>
    <w:pPr>
      <w:spacing w:line="330" w:lineRule="exact"/>
    </w:pPr>
    <w:rPr>
      <w:rFonts w:ascii="Calibri" w:eastAsia="Calibri" w:hAnsi="Calibri" w:cs="Calibri"/>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uiPriority w:val="99"/>
    <w:rPr>
      <w:sz w:val="16"/>
    </w:rPr>
  </w:style>
  <w:style w:type="character" w:styleId="a5">
    <w:name w:val="endnote reference"/>
    <w:basedOn w:val="a0"/>
    <w:rPr>
      <w:vertAlign w:val="superscript"/>
    </w:rPr>
  </w:style>
  <w:style w:type="character" w:styleId="a6">
    <w:name w:val="footnote reference"/>
    <w:basedOn w:val="a0"/>
    <w:rPr>
      <w:vertAlign w:val="superscript"/>
    </w:rPr>
  </w:style>
  <w:style w:type="character" w:styleId="a7">
    <w:name w:val="line number"/>
    <w:basedOn w:val="a0"/>
  </w:style>
  <w:style w:type="character" w:styleId="a8">
    <w:name w:val="Hyperlink"/>
    <w:basedOn w:val="a0"/>
    <w:rPr>
      <w:color w:val="0563C1"/>
      <w:u w:val="single"/>
    </w:rPr>
  </w:style>
  <w:style w:type="paragraph" w:styleId="a9">
    <w:name w:val="List Paragraph"/>
    <w:basedOn w:val="a"/>
    <w:link w:val="Char"/>
    <w:qFormat/>
    <w:pPr>
      <w:ind w:left="720"/>
      <w:contextualSpacing/>
    </w:pPr>
  </w:style>
  <w:style w:type="paragraph" w:styleId="aa">
    <w:name w:val="header"/>
    <w:basedOn w:val="a"/>
    <w:pPr>
      <w:tabs>
        <w:tab w:val="center" w:pos="4680"/>
        <w:tab w:val="right" w:pos="9360"/>
      </w:tabs>
      <w:spacing w:after="0" w:line="240" w:lineRule="auto"/>
    </w:pPr>
  </w:style>
  <w:style w:type="paragraph" w:styleId="ab">
    <w:name w:val="footer"/>
    <w:basedOn w:val="a"/>
    <w:pPr>
      <w:tabs>
        <w:tab w:val="center" w:pos="4680"/>
        <w:tab w:val="right" w:pos="9360"/>
      </w:tabs>
      <w:spacing w:after="0" w:line="240" w:lineRule="auto"/>
    </w:pPr>
  </w:style>
  <w:style w:type="paragraph" w:styleId="ac">
    <w:name w:val="annotation text"/>
    <w:basedOn w:val="a"/>
    <w:link w:val="Char0"/>
    <w:uiPriority w:val="99"/>
    <w:pPr>
      <w:spacing w:after="0"/>
      <w:jc w:val="left"/>
    </w:pPr>
    <w:rPr>
      <w:rFonts w:ascii="Calibri" w:eastAsia="Calibri" w:hAnsi="Calibri" w:cs="Calibri"/>
    </w:rPr>
  </w:style>
  <w:style w:type="paragraph" w:styleId="ad">
    <w:name w:val="annotation subject"/>
    <w:basedOn w:val="ac"/>
    <w:rPr>
      <w:rFonts w:ascii="Times New Roman" w:eastAsia="Times New Roman" w:hAnsi="Times New Roman" w:cs="Times New Roman"/>
      <w:b/>
    </w:rPr>
  </w:style>
  <w:style w:type="paragraph" w:styleId="ae">
    <w:name w:val="Balloon Text"/>
    <w:basedOn w:val="a"/>
    <w:pPr>
      <w:spacing w:after="0" w:line="240" w:lineRule="auto"/>
    </w:pPr>
    <w:rPr>
      <w:rFonts w:ascii="맑은 고딕" w:eastAsia="맑은 고딕" w:hAnsi="맑은 고딕" w:cs="맑은 고딕"/>
      <w:sz w:val="18"/>
    </w:rPr>
  </w:style>
  <w:style w:type="character" w:styleId="af">
    <w:name w:val="Placeholder Text"/>
    <w:basedOn w:val="a0"/>
    <w:rPr>
      <w:color w:val="808080"/>
    </w:rPr>
  </w:style>
  <w:style w:type="paragraph" w:customStyle="1" w:styleId="af0">
    <w:name w:val="바탕글"/>
    <w:basedOn w:val="a"/>
    <w:pPr>
      <w:spacing w:after="0" w:line="384" w:lineRule="auto"/>
    </w:pPr>
    <w:rPr>
      <w:rFonts w:ascii="함초롬바탕" w:eastAsia="함초롬바탕" w:hAnsi="함초롬바탕" w:cs="함초롬바탕"/>
      <w:color w:val="000000"/>
    </w:rPr>
  </w:style>
  <w:style w:type="paragraph" w:styleId="af1">
    <w:name w:val="endnote text"/>
    <w:basedOn w:val="a"/>
    <w:pPr>
      <w:snapToGrid w:val="0"/>
      <w:jc w:val="left"/>
    </w:pPr>
  </w:style>
  <w:style w:type="paragraph" w:customStyle="1" w:styleId="EndNoteBibliographyTitle">
    <w:name w:val="EndNote Bibliography Title"/>
    <w:basedOn w:val="a"/>
    <w:qFormat/>
    <w:pPr>
      <w:spacing w:after="0"/>
      <w:jc w:val="center"/>
    </w:pPr>
    <w:rPr>
      <w:rFonts w:ascii="Calibri" w:eastAsia="Calibri" w:hAnsi="Calibri" w:cs="Calibri"/>
    </w:rPr>
  </w:style>
  <w:style w:type="paragraph" w:customStyle="1" w:styleId="EndNoteBibliography">
    <w:name w:val="EndNote Bibliography"/>
    <w:basedOn w:val="a"/>
    <w:pPr>
      <w:spacing w:line="240" w:lineRule="auto"/>
    </w:pPr>
    <w:rPr>
      <w:rFonts w:ascii="Calibri" w:eastAsia="Calibri" w:hAnsi="Calibri" w:cs="Calibri"/>
    </w:rPr>
  </w:style>
  <w:style w:type="character" w:customStyle="1" w:styleId="11">
    <w:name w:val="확인되지 않은 멘션1"/>
    <w:basedOn w:val="a0"/>
    <w:rPr>
      <w:color w:val="605E5C"/>
    </w:rPr>
  </w:style>
  <w:style w:type="paragraph" w:styleId="af2">
    <w:name w:val="caption"/>
    <w:basedOn w:val="a"/>
    <w:uiPriority w:val="35"/>
    <w:qFormat/>
    <w:rPr>
      <w:b/>
    </w:rPr>
  </w:style>
  <w:style w:type="paragraph" w:styleId="af3">
    <w:name w:val="footnote text"/>
    <w:basedOn w:val="a"/>
    <w:pPr>
      <w:snapToGrid w:val="0"/>
      <w:jc w:val="left"/>
    </w:pPr>
  </w:style>
  <w:style w:type="paragraph" w:styleId="af4">
    <w:name w:val="Revision"/>
  </w:style>
  <w:style w:type="character" w:styleId="af5">
    <w:name w:val="FollowedHyperlink"/>
    <w:basedOn w:val="a0"/>
    <w:rPr>
      <w:color w:val="954F72"/>
      <w:u w:val="single"/>
    </w:rPr>
  </w:style>
  <w:style w:type="paragraph" w:styleId="af6">
    <w:name w:val="Normal (Web)"/>
    <w:basedOn w:val="a"/>
    <w:qFormat/>
    <w:rPr>
      <w:sz w:val="24"/>
    </w:rPr>
  </w:style>
  <w:style w:type="character" w:customStyle="1" w:styleId="UnresolvedMention1">
    <w:name w:val="Unresolved Mention1"/>
    <w:basedOn w:val="a0"/>
    <w:rPr>
      <w:color w:val="605E5C"/>
    </w:rPr>
  </w:style>
  <w:style w:type="character" w:customStyle="1" w:styleId="UnresolvedMention2">
    <w:name w:val="Unresolved Mention2"/>
    <w:basedOn w:val="a0"/>
    <w:rPr>
      <w:color w:val="605E5C"/>
    </w:rPr>
  </w:style>
  <w:style w:type="paragraph" w:customStyle="1" w:styleId="TableList">
    <w:name w:val="Table List"/>
    <w:basedOn w:val="a"/>
    <w:pPr>
      <w:ind w:left="300" w:hanging="300"/>
      <w:jc w:val="left"/>
    </w:pPr>
    <w:rPr>
      <w:rFonts w:ascii="Calibri" w:eastAsia="Calibri" w:hAnsi="Calibri" w:cs="Calibri"/>
    </w:rPr>
  </w:style>
  <w:style w:type="character" w:customStyle="1" w:styleId="GivenName">
    <w:name w:val="Given Name"/>
    <w:basedOn w:val="a0"/>
    <w:rPr>
      <w:shd w:val="clear" w:color="auto" w:fill="CFF9E6"/>
    </w:rPr>
  </w:style>
  <w:style w:type="character" w:customStyle="1" w:styleId="FamilyName">
    <w:name w:val="Family Name"/>
    <w:basedOn w:val="a0"/>
    <w:rPr>
      <w:shd w:val="clear" w:color="auto" w:fill="87F2C2"/>
    </w:rPr>
  </w:style>
  <w:style w:type="paragraph" w:customStyle="1" w:styleId="List8">
    <w:name w:val="List 8"/>
    <w:basedOn w:val="a"/>
    <w:pPr>
      <w:ind w:left="1980" w:hanging="400"/>
    </w:pPr>
    <w:rPr>
      <w:rFonts w:ascii="Calibri" w:eastAsia="Calibri" w:hAnsi="Calibri" w:cs="Calibri"/>
      <w:sz w:val="22"/>
    </w:rPr>
  </w:style>
  <w:style w:type="character" w:customStyle="1" w:styleId="Cross-reference">
    <w:name w:val="Cross-reference"/>
    <w:basedOn w:val="a0"/>
    <w:rPr>
      <w:shd w:val="clear" w:color="auto" w:fill="FFE3C9"/>
    </w:rPr>
  </w:style>
  <w:style w:type="character" w:customStyle="1" w:styleId="Postcode">
    <w:name w:val="Postcode"/>
    <w:basedOn w:val="a0"/>
    <w:rPr>
      <w:shd w:val="clear" w:color="auto" w:fill="BEBEBE"/>
    </w:rPr>
  </w:style>
  <w:style w:type="paragraph" w:customStyle="1" w:styleId="Authors">
    <w:name w:val="Authors"/>
    <w:basedOn w:val="a"/>
    <w:pPr>
      <w:spacing w:before="360" w:line="283" w:lineRule="auto"/>
      <w:jc w:val="left"/>
    </w:pPr>
    <w:rPr>
      <w:rFonts w:ascii="Calibri" w:eastAsia="Calibri" w:hAnsi="Calibri" w:cs="Calibri"/>
      <w:sz w:val="28"/>
    </w:rPr>
  </w:style>
  <w:style w:type="character" w:customStyle="1" w:styleId="GrantID">
    <w:name w:val="Grant ID"/>
    <w:basedOn w:val="a0"/>
    <w:rPr>
      <w:shd w:val="clear" w:color="auto" w:fill="DDA5FF"/>
    </w:rPr>
  </w:style>
  <w:style w:type="paragraph" w:customStyle="1" w:styleId="Annotation">
    <w:name w:val="Annotation"/>
    <w:basedOn w:val="a"/>
    <w:pPr>
      <w:spacing w:after="160"/>
      <w:ind w:left="400"/>
      <w:jc w:val="left"/>
    </w:pPr>
    <w:rPr>
      <w:rFonts w:ascii="Calibri" w:eastAsia="Calibri" w:hAnsi="Calibri" w:cs="Calibri"/>
      <w:sz w:val="22"/>
    </w:rPr>
  </w:style>
  <w:style w:type="paragraph" w:customStyle="1" w:styleId="Note">
    <w:name w:val="Note"/>
    <w:basedOn w:val="a"/>
    <w:pPr>
      <w:shd w:val="clear" w:color="auto" w:fill="FFFCED"/>
      <w:spacing w:line="432" w:lineRule="auto"/>
    </w:pPr>
    <w:rPr>
      <w:rFonts w:ascii="Calibri" w:eastAsia="Calibri" w:hAnsi="Calibri" w:cs="Calibri"/>
      <w:shd w:val="clear" w:color="auto" w:fill="FFFCED"/>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customStyle="1" w:styleId="Formula">
    <w:name w:val="Formula"/>
    <w:basedOn w:val="a"/>
    <w:pPr>
      <w:shd w:val="clear" w:color="auto" w:fill="FFF5ED"/>
      <w:spacing w:before="120"/>
      <w:jc w:val="left"/>
    </w:pPr>
    <w:rPr>
      <w:rFonts w:ascii="Calibri" w:eastAsia="Calibri" w:hAnsi="Calibri" w:cs="Calibri"/>
      <w:sz w:val="22"/>
      <w:shd w:val="clear" w:color="auto" w:fill="FFF5ED"/>
    </w:rPr>
  </w:style>
  <w:style w:type="paragraph" w:customStyle="1" w:styleId="Abstract">
    <w:name w:val="Abstract"/>
    <w:basedOn w:val="a"/>
    <w:pPr>
      <w:spacing w:after="160"/>
      <w:ind w:left="1440" w:right="1440"/>
    </w:pPr>
    <w:rPr>
      <w:rFonts w:ascii="Calibri" w:eastAsia="Calibri" w:hAnsi="Calibri" w:cs="Calibri"/>
      <w:sz w:val="22"/>
    </w:rPr>
  </w:style>
  <w:style w:type="paragraph" w:customStyle="1" w:styleId="Reference">
    <w:name w:val="Reference"/>
    <w:basedOn w:val="a"/>
    <w:pPr>
      <w:spacing w:before="320" w:after="160"/>
      <w:ind w:left="400" w:hanging="400"/>
    </w:pPr>
    <w:rPr>
      <w:rFonts w:ascii="Calibri" w:eastAsia="Calibri" w:hAnsi="Calibri" w:cs="Calibri"/>
      <w:sz w:val="22"/>
    </w:rPr>
  </w:style>
  <w:style w:type="character" w:customStyle="1" w:styleId="Label">
    <w:name w:val="Label"/>
    <w:basedOn w:val="a0"/>
    <w:rPr>
      <w:shd w:val="clear" w:color="auto" w:fill="FFC391"/>
      <w:vertAlign w:val="baseline"/>
    </w:rPr>
  </w:style>
  <w:style w:type="paragraph" w:customStyle="1" w:styleId="Keywords">
    <w:name w:val="Keywords"/>
    <w:basedOn w:val="a"/>
    <w:pPr>
      <w:spacing w:line="396" w:lineRule="auto"/>
      <w:ind w:left="1000"/>
      <w:jc w:val="left"/>
    </w:pPr>
    <w:rPr>
      <w:rFonts w:ascii="Calibri" w:eastAsia="Calibri" w:hAnsi="Calibri" w:cs="Calibri"/>
    </w:rPr>
  </w:style>
  <w:style w:type="character" w:customStyle="1" w:styleId="Organization">
    <w:name w:val="Organization"/>
    <w:basedOn w:val="a0"/>
    <w:rPr>
      <w:shd w:val="clear" w:color="auto" w:fill="D1FFB5"/>
    </w:rPr>
  </w:style>
  <w:style w:type="paragraph" w:styleId="21">
    <w:name w:val="List 2"/>
    <w:basedOn w:val="a"/>
    <w:pPr>
      <w:ind w:left="800" w:hanging="400"/>
    </w:pPr>
    <w:rPr>
      <w:rFonts w:ascii="Calibri" w:eastAsia="Calibri" w:hAnsi="Calibri" w:cs="Calibri"/>
      <w:sz w:val="22"/>
    </w:rPr>
  </w:style>
  <w:style w:type="character" w:customStyle="1" w:styleId="GlossaryTerm">
    <w:name w:val="Glossary Term"/>
    <w:basedOn w:val="a0"/>
    <w:rPr>
      <w:shd w:val="clear" w:color="auto" w:fill="FFCFD7"/>
    </w:rPr>
  </w:style>
  <w:style w:type="paragraph" w:styleId="af7">
    <w:name w:val="Block Text"/>
    <w:basedOn w:val="a"/>
    <w:pPr>
      <w:spacing w:after="160"/>
      <w:ind w:left="1200"/>
    </w:pPr>
    <w:rPr>
      <w:rFonts w:ascii="Calibri" w:eastAsia="Calibri" w:hAnsi="Calibri" w:cs="Calibri"/>
      <w:sz w:val="22"/>
    </w:rPr>
  </w:style>
  <w:style w:type="character" w:customStyle="1" w:styleId="ArticleTitle">
    <w:name w:val="Article Title"/>
    <w:basedOn w:val="a0"/>
    <w:qFormat/>
    <w:rPr>
      <w:shd w:val="clear" w:color="auto" w:fill="E9F9FF"/>
    </w:rPr>
  </w:style>
  <w:style w:type="character" w:customStyle="1" w:styleId="City">
    <w:name w:val="City"/>
    <w:basedOn w:val="a0"/>
    <w:rPr>
      <w:shd w:val="clear" w:color="auto" w:fill="D7D7D7"/>
    </w:rPr>
  </w:style>
  <w:style w:type="character" w:customStyle="1" w:styleId="Region">
    <w:name w:val="Region"/>
    <w:basedOn w:val="a0"/>
    <w:rPr>
      <w:shd w:val="clear" w:color="auto" w:fill="D8E9EE"/>
    </w:rPr>
  </w:style>
  <w:style w:type="paragraph" w:customStyle="1" w:styleId="Correspondence">
    <w:name w:val="Correspondence"/>
    <w:basedOn w:val="a"/>
    <w:pPr>
      <w:shd w:val="clear" w:color="auto" w:fill="F3F7F9"/>
      <w:spacing w:before="240" w:line="396" w:lineRule="auto"/>
      <w:ind w:left="400" w:hanging="400"/>
      <w:jc w:val="left"/>
    </w:pPr>
    <w:rPr>
      <w:rFonts w:ascii="Calibri" w:eastAsia="Calibri" w:hAnsi="Calibri" w:cs="Calibri"/>
      <w:shd w:val="clear" w:color="auto" w:fill="F3F7F9"/>
    </w:rPr>
  </w:style>
  <w:style w:type="character" w:customStyle="1" w:styleId="DatabaseLink">
    <w:name w:val="Database Link"/>
    <w:basedOn w:val="a0"/>
    <w:rPr>
      <w:shd w:val="clear" w:color="auto" w:fill="AFBEFF"/>
    </w:rPr>
  </w:style>
  <w:style w:type="paragraph" w:styleId="41">
    <w:name w:val="List 4"/>
    <w:basedOn w:val="a"/>
    <w:pPr>
      <w:ind w:left="1600" w:hanging="400"/>
    </w:pPr>
    <w:rPr>
      <w:rFonts w:ascii="Calibri" w:eastAsia="Calibri" w:hAnsi="Calibri" w:cs="Calibri"/>
      <w:sz w:val="22"/>
    </w:rPr>
  </w:style>
  <w:style w:type="paragraph" w:customStyle="1" w:styleId="AbstractSubheading">
    <w:name w:val="Abstract Subheading"/>
    <w:basedOn w:val="a"/>
    <w:pPr>
      <w:numPr>
        <w:ilvl w:val="1"/>
      </w:numPr>
      <w:ind w:left="1440"/>
      <w:outlineLvl w:val="1"/>
    </w:pPr>
    <w:rPr>
      <w:b/>
      <w:color w:val="3F6FA2"/>
      <w:sz w:val="22"/>
    </w:rPr>
  </w:style>
  <w:style w:type="paragraph" w:customStyle="1" w:styleId="QuotationSource">
    <w:name w:val="Quotation Source"/>
    <w:basedOn w:val="a"/>
    <w:pPr>
      <w:spacing w:after="170"/>
      <w:ind w:left="1200"/>
      <w:jc w:val="right"/>
    </w:pPr>
    <w:rPr>
      <w:rFonts w:ascii="Calibri" w:eastAsia="Calibri" w:hAnsi="Calibri" w:cs="Calibri"/>
      <w:sz w:val="22"/>
    </w:rPr>
  </w:style>
  <w:style w:type="paragraph" w:customStyle="1" w:styleId="Glossary">
    <w:name w:val="Glossary"/>
    <w:basedOn w:val="a"/>
    <w:pPr>
      <w:shd w:val="clear" w:color="auto" w:fill="FFEDF0"/>
      <w:spacing w:before="120" w:line="432" w:lineRule="auto"/>
    </w:pPr>
    <w:rPr>
      <w:rFonts w:ascii="Calibri" w:eastAsia="Calibri" w:hAnsi="Calibri" w:cs="Calibri"/>
      <w:shd w:val="clear" w:color="auto" w:fill="FFEDF0"/>
    </w:rPr>
  </w:style>
  <w:style w:type="paragraph" w:customStyle="1" w:styleId="List7">
    <w:name w:val="List 7"/>
    <w:basedOn w:val="a"/>
    <w:pPr>
      <w:ind w:left="1920" w:hanging="400"/>
    </w:pPr>
    <w:rPr>
      <w:rFonts w:ascii="Calibri" w:eastAsia="Calibri" w:hAnsi="Calibri" w:cs="Calibri"/>
      <w:sz w:val="22"/>
    </w:rPr>
  </w:style>
  <w:style w:type="character" w:customStyle="1" w:styleId="Country">
    <w:name w:val="Country"/>
    <w:basedOn w:val="a0"/>
    <w:rPr>
      <w:shd w:val="clear" w:color="auto" w:fill="97C5D1"/>
    </w:rPr>
  </w:style>
  <w:style w:type="paragraph" w:customStyle="1" w:styleId="Acknowledgements">
    <w:name w:val="Acknowledgements"/>
    <w:basedOn w:val="a"/>
    <w:pPr>
      <w:shd w:val="clear" w:color="auto" w:fill="F9EDFF"/>
      <w:spacing w:after="160" w:line="396" w:lineRule="auto"/>
    </w:pPr>
    <w:rPr>
      <w:rFonts w:ascii="Calibri" w:eastAsia="Calibri" w:hAnsi="Calibri" w:cs="Calibri"/>
      <w:shd w:val="clear" w:color="auto" w:fill="F9EDFF"/>
    </w:rPr>
  </w:style>
  <w:style w:type="character" w:customStyle="1" w:styleId="PageNumbers">
    <w:name w:val="Page Numbers"/>
    <w:basedOn w:val="a0"/>
    <w:rPr>
      <w:shd w:val="clear" w:color="auto" w:fill="FFEDF0"/>
    </w:rPr>
  </w:style>
  <w:style w:type="paragraph" w:styleId="af8">
    <w:name w:val="Normal Indent"/>
    <w:basedOn w:val="a"/>
    <w:qFormat/>
    <w:pPr>
      <w:spacing w:after="160"/>
      <w:ind w:firstLine="480"/>
    </w:pPr>
    <w:rPr>
      <w:rFonts w:ascii="Calibri" w:eastAsia="Calibri" w:hAnsi="Calibri" w:cs="Calibri"/>
      <w:sz w:val="22"/>
    </w:rPr>
  </w:style>
  <w:style w:type="paragraph" w:customStyle="1" w:styleId="Affiliation">
    <w:name w:val="Affiliation"/>
    <w:basedOn w:val="a"/>
    <w:pPr>
      <w:shd w:val="clear" w:color="auto" w:fill="F4FFED"/>
      <w:spacing w:before="240" w:line="396" w:lineRule="auto"/>
      <w:ind w:left="400" w:hanging="400"/>
      <w:jc w:val="left"/>
    </w:pPr>
    <w:rPr>
      <w:rFonts w:ascii="Calibri" w:eastAsia="Calibri" w:hAnsi="Calibri" w:cs="Calibri"/>
      <w:shd w:val="clear" w:color="auto" w:fill="F4FFED"/>
    </w:rPr>
  </w:style>
  <w:style w:type="character" w:customStyle="1" w:styleId="VolumeNumber">
    <w:name w:val="Volume Number"/>
    <w:basedOn w:val="a0"/>
    <w:rPr>
      <w:shd w:val="clear" w:color="auto" w:fill="EDF0FF"/>
    </w:rPr>
  </w:style>
  <w:style w:type="character" w:customStyle="1" w:styleId="GeneSequence">
    <w:name w:val="Gene Sequence"/>
    <w:basedOn w:val="a0"/>
    <w:rPr>
      <w:shd w:val="clear" w:color="auto" w:fill="FFCDF2"/>
    </w:rPr>
  </w:style>
  <w:style w:type="character" w:customStyle="1" w:styleId="IssueNumber">
    <w:name w:val="Issue Number"/>
    <w:basedOn w:val="a0"/>
    <w:rPr>
      <w:shd w:val="clear" w:color="auto" w:fill="CDD5FF"/>
    </w:rPr>
  </w:style>
  <w:style w:type="paragraph" w:styleId="af9">
    <w:name w:val="List"/>
    <w:basedOn w:val="a"/>
    <w:pPr>
      <w:ind w:left="400" w:hanging="400"/>
    </w:pPr>
    <w:rPr>
      <w:rFonts w:ascii="Calibri" w:eastAsia="Calibri" w:hAnsi="Calibri" w:cs="Calibri"/>
      <w:sz w:val="22"/>
    </w:rPr>
  </w:style>
  <w:style w:type="character" w:customStyle="1" w:styleId="Edition">
    <w:name w:val="Edition"/>
    <w:basedOn w:val="a0"/>
    <w:rPr>
      <w:shd w:val="clear" w:color="auto" w:fill="FFF1A5"/>
    </w:rPr>
  </w:style>
  <w:style w:type="paragraph" w:customStyle="1" w:styleId="Biography">
    <w:name w:val="Biography"/>
    <w:basedOn w:val="a"/>
    <w:pPr>
      <w:shd w:val="clear" w:color="auto" w:fill="EDFCF5"/>
      <w:spacing w:after="160" w:line="396" w:lineRule="auto"/>
    </w:pPr>
    <w:rPr>
      <w:rFonts w:ascii="Calibri" w:eastAsia="Calibri" w:hAnsi="Calibri" w:cs="Calibri"/>
      <w:shd w:val="clear" w:color="auto" w:fill="EDFCF5"/>
    </w:rPr>
  </w:style>
  <w:style w:type="paragraph" w:styleId="31">
    <w:name w:val="List 3"/>
    <w:basedOn w:val="a"/>
    <w:pPr>
      <w:ind w:left="1200" w:hanging="400"/>
    </w:pPr>
    <w:rPr>
      <w:rFonts w:ascii="Calibri" w:eastAsia="Calibri" w:hAnsi="Calibri" w:cs="Calibri"/>
      <w:sz w:val="22"/>
    </w:rPr>
  </w:style>
  <w:style w:type="character" w:customStyle="1" w:styleId="Conference">
    <w:name w:val="Conference"/>
    <w:basedOn w:val="a0"/>
    <w:rPr>
      <w:shd w:val="clear" w:color="auto" w:fill="FFAFBC"/>
    </w:rPr>
  </w:style>
  <w:style w:type="paragraph" w:customStyle="1" w:styleId="Surtitle">
    <w:name w:val="Surtitle"/>
    <w:basedOn w:val="a"/>
    <w:qFormat/>
    <w:pPr>
      <w:spacing w:after="160" w:line="208" w:lineRule="auto"/>
      <w:jc w:val="left"/>
    </w:pPr>
    <w:rPr>
      <w:rFonts w:ascii="Calibri" w:eastAsia="Calibri" w:hAnsi="Calibri" w:cs="Calibri"/>
      <w:sz w:val="38"/>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Miscellaneous">
    <w:name w:val="Miscellaneous"/>
    <w:basedOn w:val="a0"/>
    <w:rPr>
      <w:shd w:val="clear" w:color="auto" w:fill="F0F0F0"/>
    </w:rPr>
  </w:style>
  <w:style w:type="paragraph" w:customStyle="1" w:styleId="List6">
    <w:name w:val="List 6"/>
    <w:basedOn w:val="a"/>
    <w:pPr>
      <w:ind w:left="1860" w:hanging="400"/>
    </w:pPr>
    <w:rPr>
      <w:rFonts w:ascii="Calibri" w:eastAsia="Calibri" w:hAnsi="Calibri" w:cs="Calibri"/>
      <w:sz w:val="22"/>
    </w:rPr>
  </w:style>
  <w:style w:type="character" w:customStyle="1" w:styleId="Heading">
    <w:name w:val="Heading:"/>
    <w:basedOn w:val="a0"/>
    <w:rPr>
      <w:color w:val="5B89C1"/>
    </w:rPr>
  </w:style>
  <w:style w:type="character" w:customStyle="1" w:styleId="Source">
    <w:name w:val="Source"/>
    <w:basedOn w:val="a0"/>
    <w:rPr>
      <w:shd w:val="clear" w:color="auto" w:fill="C1EDFF"/>
    </w:rPr>
  </w:style>
  <w:style w:type="paragraph" w:styleId="afa">
    <w:name w:val="Subtitle"/>
    <w:basedOn w:val="a"/>
    <w:qFormat/>
    <w:pPr>
      <w:spacing w:after="160" w:line="208" w:lineRule="auto"/>
      <w:jc w:val="left"/>
    </w:pPr>
    <w:rPr>
      <w:rFonts w:ascii="Calibri" w:eastAsia="Calibri" w:hAnsi="Calibri" w:cs="Calibri"/>
      <w:sz w:val="38"/>
    </w:rPr>
  </w:style>
  <w:style w:type="character" w:customStyle="1" w:styleId="NameScientific">
    <w:name w:val="Name Scientific"/>
    <w:basedOn w:val="a0"/>
    <w:rPr>
      <w:shd w:val="clear" w:color="auto" w:fill="91E0FF"/>
    </w:rPr>
  </w:style>
  <w:style w:type="paragraph" w:customStyle="1" w:styleId="Statement">
    <w:name w:val="Statement"/>
    <w:basedOn w:val="a"/>
    <w:pPr>
      <w:ind w:left="900"/>
    </w:pPr>
    <w:rPr>
      <w:rFonts w:ascii="Calibri" w:eastAsia="Calibri" w:hAnsi="Calibri" w:cs="Calibri"/>
      <w:sz w:val="22"/>
    </w:rPr>
  </w:style>
  <w:style w:type="paragraph" w:customStyle="1" w:styleId="TableHead">
    <w:name w:val="Table Head"/>
    <w:basedOn w:val="a"/>
    <w:pPr>
      <w:shd w:val="clear" w:color="auto" w:fill="FFEDFA"/>
      <w:jc w:val="left"/>
    </w:pPr>
    <w:rPr>
      <w:rFonts w:ascii="Calibri" w:eastAsia="Calibri" w:hAnsi="Calibri" w:cs="Calibri"/>
      <w:shd w:val="clear" w:color="auto" w:fill="FFEDFA"/>
    </w:rPr>
  </w:style>
  <w:style w:type="paragraph" w:customStyle="1" w:styleId="Quotation">
    <w:name w:val="Quotation"/>
    <w:basedOn w:val="a"/>
    <w:pPr>
      <w:spacing w:after="160"/>
      <w:ind w:left="1200" w:right="1200"/>
    </w:pPr>
    <w:rPr>
      <w:rFonts w:ascii="Calibri" w:eastAsia="Calibri" w:hAnsi="Calibri" w:cs="Calibri"/>
      <w:sz w:val="22"/>
    </w:rPr>
  </w:style>
  <w:style w:type="paragraph" w:customStyle="1" w:styleId="TableNote">
    <w:name w:val="Table Note"/>
    <w:basedOn w:val="a"/>
    <w:rPr>
      <w:rFonts w:ascii="Calibri" w:eastAsia="Calibri" w:hAnsi="Calibri" w:cs="Calibri"/>
      <w:sz w:val="18"/>
    </w:rPr>
  </w:style>
  <w:style w:type="character" w:customStyle="1" w:styleId="Year">
    <w:name w:val="Year"/>
    <w:basedOn w:val="a0"/>
    <w:rPr>
      <w:shd w:val="clear" w:color="auto" w:fill="FFF6C9"/>
    </w:rPr>
  </w:style>
  <w:style w:type="paragraph" w:customStyle="1" w:styleId="TableBody">
    <w:name w:val="Table Body"/>
    <w:basedOn w:val="a"/>
    <w:pPr>
      <w:spacing w:after="160" w:line="396" w:lineRule="auto"/>
      <w:jc w:val="left"/>
    </w:pPr>
    <w:rPr>
      <w:rFonts w:ascii="Calibri" w:eastAsia="Calibri" w:hAnsi="Calibri" w:cs="Calibri"/>
    </w:rPr>
  </w:style>
  <w:style w:type="character" w:customStyle="1" w:styleId="Location">
    <w:name w:val="Location"/>
    <w:basedOn w:val="a0"/>
    <w:rPr>
      <w:shd w:val="clear" w:color="auto" w:fill="F9EDFF"/>
    </w:rPr>
  </w:style>
  <w:style w:type="paragraph" w:customStyle="1" w:styleId="ChapterNumber">
    <w:name w:val="Chapter Number"/>
    <w:basedOn w:val="a"/>
    <w:rPr>
      <w:rFonts w:ascii="Calibri" w:eastAsia="Calibri" w:hAnsi="Calibri" w:cs="Calibri"/>
    </w:rPr>
  </w:style>
  <w:style w:type="paragraph" w:styleId="51">
    <w:name w:val="List 5"/>
    <w:basedOn w:val="a"/>
    <w:pPr>
      <w:ind w:left="1800" w:hanging="400"/>
    </w:pPr>
    <w:rPr>
      <w:rFonts w:ascii="Calibri" w:eastAsia="Calibri" w:hAnsi="Calibri" w:cs="Calibri"/>
      <w:sz w:val="22"/>
    </w:rPr>
  </w:style>
  <w:style w:type="character" w:customStyle="1" w:styleId="Publisher">
    <w:name w:val="Publisher"/>
    <w:basedOn w:val="a0"/>
    <w:rPr>
      <w:shd w:val="clear" w:color="auto" w:fill="F2DDFF"/>
    </w:rPr>
  </w:style>
  <w:style w:type="paragraph" w:styleId="afb">
    <w:name w:val="Title"/>
    <w:basedOn w:val="a"/>
    <w:qFormat/>
    <w:pPr>
      <w:spacing w:after="0" w:line="309" w:lineRule="auto"/>
      <w:jc w:val="left"/>
    </w:pPr>
    <w:rPr>
      <w:rFonts w:ascii="Calibri Light" w:eastAsia="Calibri Light" w:hAnsi="Calibri Light" w:cs="Calibri Light"/>
      <w:sz w:val="56"/>
    </w:rPr>
  </w:style>
  <w:style w:type="character" w:customStyle="1" w:styleId="Char">
    <w:name w:val="목록 단락 Char"/>
    <w:basedOn w:val="a0"/>
    <w:link w:val="a9"/>
    <w:rsid w:val="006A1488"/>
  </w:style>
  <w:style w:type="character" w:customStyle="1" w:styleId="Char0">
    <w:name w:val="메모 텍스트 Char"/>
    <w:basedOn w:val="a0"/>
    <w:link w:val="ac"/>
    <w:uiPriority w:val="99"/>
    <w:rsid w:val="00582B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net.2022.10.028" TargetMode="External"/><Relationship Id="rId18" Type="http://schemas.openxmlformats.org/officeDocument/2006/relationships/hyperlink" Target="https://doi.org/10.1088/0031-9155/41/12/017" TargetMode="External"/><Relationship Id="rId26" Type="http://schemas.openxmlformats.org/officeDocument/2006/relationships/hyperlink" Target="https://doi.org/10.3327/jnst.3.393" TargetMode="External"/><Relationship Id="rId3" Type="http://schemas.openxmlformats.org/officeDocument/2006/relationships/styles" Target="styles.xml"/><Relationship Id="rId21" Type="http://schemas.openxmlformats.org/officeDocument/2006/relationships/hyperlink" Target="https://doi.org/10.1093/ww/9780199540884.013.u17678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anucene.2022.109366" TargetMode="External"/><Relationship Id="rId17" Type="http://schemas.openxmlformats.org/officeDocument/2006/relationships/hyperlink" Target="https://radiationsoftware.com/" TargetMode="External"/><Relationship Id="rId25" Type="http://schemas.openxmlformats.org/officeDocument/2006/relationships/hyperlink" Target="https://doi.org/10.1007/BF01475996" TargetMode="External"/><Relationship Id="rId33" Type="http://schemas.openxmlformats.org/officeDocument/2006/relationships/hyperlink" Target="https://doi.org/10.1016/j.radphyschem.2020.109327" TargetMode="External"/><Relationship Id="rId2" Type="http://schemas.openxmlformats.org/officeDocument/2006/relationships/numbering" Target="numbering.xml"/><Relationship Id="rId16" Type="http://schemas.openxmlformats.org/officeDocument/2006/relationships/hyperlink" Target="https://doi.org/10.1016/j.jhazmat.2013.03.038" TargetMode="External"/><Relationship Id="rId20" Type="http://schemas.openxmlformats.org/officeDocument/2006/relationships/hyperlink" Target="https://doi.org/10.1016/j.icrp.2011.10.001" TargetMode="External"/><Relationship Id="rId29" Type="http://schemas.openxmlformats.org/officeDocument/2006/relationships/hyperlink" Target="https://doi.org/10.1016/s0306-4549(97)000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nucengdes.2021.111242" TargetMode="External"/><Relationship Id="rId24" Type="http://schemas.openxmlformats.org/officeDocument/2006/relationships/hyperlink" Target="https://doi.org/10.13182/NT89-A34269" TargetMode="External"/><Relationship Id="rId32" Type="http://schemas.openxmlformats.org/officeDocument/2006/relationships/hyperlink" Target="https://doi.org/10.1093/rpd/ncz224" TargetMode="External"/><Relationship Id="rId5" Type="http://schemas.openxmlformats.org/officeDocument/2006/relationships/webSettings" Target="webSettings.xml"/><Relationship Id="rId15" Type="http://schemas.openxmlformats.org/officeDocument/2006/relationships/hyperlink" Target="https://doi.org/10.1097/00004032-200206000-00011" TargetMode="External"/><Relationship Id="rId23" Type="http://schemas.openxmlformats.org/officeDocument/2006/relationships/hyperlink" Target="https://doi.org/10.1016/0969-806x(95)00461-6" TargetMode="External"/><Relationship Id="rId28" Type="http://schemas.openxmlformats.org/officeDocument/2006/relationships/hyperlink" Target="https://doi.org/10.1016/j.anucene.2020.107944" TargetMode="External"/><Relationship Id="rId36" Type="http://schemas.openxmlformats.org/officeDocument/2006/relationships/theme" Target="theme/theme1.xml"/><Relationship Id="rId10" Type="http://schemas.openxmlformats.org/officeDocument/2006/relationships/hyperlink" Target="https://doi.org/10.1016/j.jenvrad.2017.08.011" TargetMode="External"/><Relationship Id="rId19" Type="http://schemas.openxmlformats.org/officeDocument/2006/relationships/hyperlink" Target="https://doi.org/10.1016/j.icrp.2008.10.004" TargetMode="External"/><Relationship Id="rId31" Type="http://schemas.openxmlformats.org/officeDocument/2006/relationships/hyperlink" Target="https://doi.org/10.1016/j.radphyschem.2017.02.054" TargetMode="External"/><Relationship Id="rId4" Type="http://schemas.openxmlformats.org/officeDocument/2006/relationships/settings" Target="settings.xml"/><Relationship Id="rId9" Type="http://schemas.openxmlformats.org/officeDocument/2006/relationships/hyperlink" Target="https://doi.org/10.1016/j.anucene.2017.06.056" TargetMode="External"/><Relationship Id="rId14" Type="http://schemas.openxmlformats.org/officeDocument/2006/relationships/hyperlink" Target="https://doi.org/10.1016/j.jhazmat.2024.134072" TargetMode="External"/><Relationship Id="rId22" Type="http://schemas.openxmlformats.org/officeDocument/2006/relationships/hyperlink" Target="https://doi.org/10.13182/nse83-a18222" TargetMode="External"/><Relationship Id="rId27" Type="http://schemas.openxmlformats.org/officeDocument/2006/relationships/hyperlink" Target="https://doi.org/10.13182/NSE74-A23334" TargetMode="External"/><Relationship Id="rId30" Type="http://schemas.openxmlformats.org/officeDocument/2006/relationships/hyperlink" Target="https://doi.org/10.1016/j.anucene.2011.12.031" TargetMode="External"/><Relationship Id="rId35" Type="http://schemas.openxmlformats.org/officeDocument/2006/relationships/fontTable" Target="fontTable.xml"/><Relationship Id="rId8" Type="http://schemas.openxmlformats.org/officeDocument/2006/relationships/hyperlink" Target="mailto:jypark@unist.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AAB8-3AFA-44EC-9461-43786C1C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9111</Words>
  <Characters>51937</Characters>
  <Application>Microsoft Office Word</Application>
  <DocSecurity>0</DocSecurity>
  <Lines>432</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60927</CharactersWithSpaces>
  <SharedDoc>false</SharedDoc>
  <HLinks>
    <vt:vector size="156" baseType="variant">
      <vt:variant>
        <vt:i4>4587539</vt:i4>
      </vt:variant>
      <vt:variant>
        <vt:i4>150</vt:i4>
      </vt:variant>
      <vt:variant>
        <vt:i4>0</vt:i4>
      </vt:variant>
      <vt:variant>
        <vt:i4>5</vt:i4>
      </vt:variant>
      <vt:variant>
        <vt:lpwstr>https://doi.org/10.1016/j.radphyschem.2020.109327</vt:lpwstr>
      </vt:variant>
      <vt:variant>
        <vt:lpwstr/>
      </vt:variant>
      <vt:variant>
        <vt:i4>2097257</vt:i4>
      </vt:variant>
      <vt:variant>
        <vt:i4>147</vt:i4>
      </vt:variant>
      <vt:variant>
        <vt:i4>0</vt:i4>
      </vt:variant>
      <vt:variant>
        <vt:i4>5</vt:i4>
      </vt:variant>
      <vt:variant>
        <vt:lpwstr>https://doi.org/10.1093/rpd/ncz224</vt:lpwstr>
      </vt:variant>
      <vt:variant>
        <vt:lpwstr/>
      </vt:variant>
      <vt:variant>
        <vt:i4>5242897</vt:i4>
      </vt:variant>
      <vt:variant>
        <vt:i4>144</vt:i4>
      </vt:variant>
      <vt:variant>
        <vt:i4>0</vt:i4>
      </vt:variant>
      <vt:variant>
        <vt:i4>5</vt:i4>
      </vt:variant>
      <vt:variant>
        <vt:lpwstr>https://doi.org/10.1016/j.radphyschem.2017.02.054</vt:lpwstr>
      </vt:variant>
      <vt:variant>
        <vt:lpwstr/>
      </vt:variant>
      <vt:variant>
        <vt:i4>6029325</vt:i4>
      </vt:variant>
      <vt:variant>
        <vt:i4>141</vt:i4>
      </vt:variant>
      <vt:variant>
        <vt:i4>0</vt:i4>
      </vt:variant>
      <vt:variant>
        <vt:i4>5</vt:i4>
      </vt:variant>
      <vt:variant>
        <vt:lpwstr>https://doi.org/10.1016/j.anucene.2011.12.031</vt:lpwstr>
      </vt:variant>
      <vt:variant>
        <vt:lpwstr/>
      </vt:variant>
      <vt:variant>
        <vt:i4>917510</vt:i4>
      </vt:variant>
      <vt:variant>
        <vt:i4>138</vt:i4>
      </vt:variant>
      <vt:variant>
        <vt:i4>0</vt:i4>
      </vt:variant>
      <vt:variant>
        <vt:i4>5</vt:i4>
      </vt:variant>
      <vt:variant>
        <vt:lpwstr>https://doi.org/10.1016/s0306-4549(97)00003-0</vt:lpwstr>
      </vt:variant>
      <vt:variant>
        <vt:lpwstr/>
      </vt:variant>
      <vt:variant>
        <vt:i4>4390917</vt:i4>
      </vt:variant>
      <vt:variant>
        <vt:i4>135</vt:i4>
      </vt:variant>
      <vt:variant>
        <vt:i4>0</vt:i4>
      </vt:variant>
      <vt:variant>
        <vt:i4>5</vt:i4>
      </vt:variant>
      <vt:variant>
        <vt:lpwstr>https://doi.org/10.1016/j.anucene.2020.107944</vt:lpwstr>
      </vt:variant>
      <vt:variant>
        <vt:lpwstr/>
      </vt:variant>
      <vt:variant>
        <vt:i4>5308438</vt:i4>
      </vt:variant>
      <vt:variant>
        <vt:i4>132</vt:i4>
      </vt:variant>
      <vt:variant>
        <vt:i4>0</vt:i4>
      </vt:variant>
      <vt:variant>
        <vt:i4>5</vt:i4>
      </vt:variant>
      <vt:variant>
        <vt:lpwstr>https://doi.org/10.13182/NSE74-A23334</vt:lpwstr>
      </vt:variant>
      <vt:variant>
        <vt:lpwstr/>
      </vt:variant>
      <vt:variant>
        <vt:i4>3801214</vt:i4>
      </vt:variant>
      <vt:variant>
        <vt:i4>129</vt:i4>
      </vt:variant>
      <vt:variant>
        <vt:i4>0</vt:i4>
      </vt:variant>
      <vt:variant>
        <vt:i4>5</vt:i4>
      </vt:variant>
      <vt:variant>
        <vt:lpwstr>https://doi.org/10.3327/jnst.3.393</vt:lpwstr>
      </vt:variant>
      <vt:variant>
        <vt:lpwstr/>
      </vt:variant>
      <vt:variant>
        <vt:i4>8126519</vt:i4>
      </vt:variant>
      <vt:variant>
        <vt:i4>126</vt:i4>
      </vt:variant>
      <vt:variant>
        <vt:i4>0</vt:i4>
      </vt:variant>
      <vt:variant>
        <vt:i4>5</vt:i4>
      </vt:variant>
      <vt:variant>
        <vt:lpwstr>https://doi.org/10.1007/BF01475996</vt:lpwstr>
      </vt:variant>
      <vt:variant>
        <vt:lpwstr/>
      </vt:variant>
      <vt:variant>
        <vt:i4>4980816</vt:i4>
      </vt:variant>
      <vt:variant>
        <vt:i4>123</vt:i4>
      </vt:variant>
      <vt:variant>
        <vt:i4>0</vt:i4>
      </vt:variant>
      <vt:variant>
        <vt:i4>5</vt:i4>
      </vt:variant>
      <vt:variant>
        <vt:lpwstr>https://doi.org/10.13182/NT89-A34269</vt:lpwstr>
      </vt:variant>
      <vt:variant>
        <vt:lpwstr/>
      </vt:variant>
      <vt:variant>
        <vt:i4>131076</vt:i4>
      </vt:variant>
      <vt:variant>
        <vt:i4>120</vt:i4>
      </vt:variant>
      <vt:variant>
        <vt:i4>0</vt:i4>
      </vt:variant>
      <vt:variant>
        <vt:i4>5</vt:i4>
      </vt:variant>
      <vt:variant>
        <vt:lpwstr>https://doi.org/10.1016/0969-806x(95)00461-6</vt:lpwstr>
      </vt:variant>
      <vt:variant>
        <vt:lpwstr/>
      </vt:variant>
      <vt:variant>
        <vt:i4>6029339</vt:i4>
      </vt:variant>
      <vt:variant>
        <vt:i4>117</vt:i4>
      </vt:variant>
      <vt:variant>
        <vt:i4>0</vt:i4>
      </vt:variant>
      <vt:variant>
        <vt:i4>5</vt:i4>
      </vt:variant>
      <vt:variant>
        <vt:lpwstr>https://doi.org/10.13182/nse83-a18222</vt:lpwstr>
      </vt:variant>
      <vt:variant>
        <vt:lpwstr/>
      </vt:variant>
      <vt:variant>
        <vt:i4>1900556</vt:i4>
      </vt:variant>
      <vt:variant>
        <vt:i4>114</vt:i4>
      </vt:variant>
      <vt:variant>
        <vt:i4>0</vt:i4>
      </vt:variant>
      <vt:variant>
        <vt:i4>5</vt:i4>
      </vt:variant>
      <vt:variant>
        <vt:lpwstr>https://doi.org/10.1093/ww/9780199540884.013.u176787</vt:lpwstr>
      </vt:variant>
      <vt:variant>
        <vt:lpwstr/>
      </vt:variant>
      <vt:variant>
        <vt:i4>3342381</vt:i4>
      </vt:variant>
      <vt:variant>
        <vt:i4>111</vt:i4>
      </vt:variant>
      <vt:variant>
        <vt:i4>0</vt:i4>
      </vt:variant>
      <vt:variant>
        <vt:i4>5</vt:i4>
      </vt:variant>
      <vt:variant>
        <vt:lpwstr>https://doi.org/10.1016/j.icrp.2011.10.001</vt:lpwstr>
      </vt:variant>
      <vt:variant>
        <vt:lpwstr/>
      </vt:variant>
      <vt:variant>
        <vt:i4>3604516</vt:i4>
      </vt:variant>
      <vt:variant>
        <vt:i4>108</vt:i4>
      </vt:variant>
      <vt:variant>
        <vt:i4>0</vt:i4>
      </vt:variant>
      <vt:variant>
        <vt:i4>5</vt:i4>
      </vt:variant>
      <vt:variant>
        <vt:lpwstr>https://doi.org/10.1016/j.icrp.2008.10.004</vt:lpwstr>
      </vt:variant>
      <vt:variant>
        <vt:lpwstr/>
      </vt:variant>
      <vt:variant>
        <vt:i4>2556001</vt:i4>
      </vt:variant>
      <vt:variant>
        <vt:i4>105</vt:i4>
      </vt:variant>
      <vt:variant>
        <vt:i4>0</vt:i4>
      </vt:variant>
      <vt:variant>
        <vt:i4>5</vt:i4>
      </vt:variant>
      <vt:variant>
        <vt:lpwstr>https://doi.org/10.1088/0031-9155/41/12/017</vt:lpwstr>
      </vt:variant>
      <vt:variant>
        <vt:lpwstr/>
      </vt:variant>
      <vt:variant>
        <vt:i4>8126497</vt:i4>
      </vt:variant>
      <vt:variant>
        <vt:i4>102</vt:i4>
      </vt:variant>
      <vt:variant>
        <vt:i4>0</vt:i4>
      </vt:variant>
      <vt:variant>
        <vt:i4>5</vt:i4>
      </vt:variant>
      <vt:variant>
        <vt:lpwstr>https://radiationsoftware.com/</vt:lpwstr>
      </vt:variant>
      <vt:variant>
        <vt:lpwstr/>
      </vt:variant>
      <vt:variant>
        <vt:i4>5177354</vt:i4>
      </vt:variant>
      <vt:variant>
        <vt:i4>99</vt:i4>
      </vt:variant>
      <vt:variant>
        <vt:i4>0</vt:i4>
      </vt:variant>
      <vt:variant>
        <vt:i4>5</vt:i4>
      </vt:variant>
      <vt:variant>
        <vt:lpwstr>https://doi.org/10.1016/j.jhazmat.2013.03.038</vt:lpwstr>
      </vt:variant>
      <vt:variant>
        <vt:lpwstr/>
      </vt:variant>
      <vt:variant>
        <vt:i4>1769567</vt:i4>
      </vt:variant>
      <vt:variant>
        <vt:i4>96</vt:i4>
      </vt:variant>
      <vt:variant>
        <vt:i4>0</vt:i4>
      </vt:variant>
      <vt:variant>
        <vt:i4>5</vt:i4>
      </vt:variant>
      <vt:variant>
        <vt:lpwstr>https://doi.org/10.1097/00004032-200206000-00011</vt:lpwstr>
      </vt:variant>
      <vt:variant>
        <vt:lpwstr/>
      </vt:variant>
      <vt:variant>
        <vt:i4>5701641</vt:i4>
      </vt:variant>
      <vt:variant>
        <vt:i4>93</vt:i4>
      </vt:variant>
      <vt:variant>
        <vt:i4>0</vt:i4>
      </vt:variant>
      <vt:variant>
        <vt:i4>5</vt:i4>
      </vt:variant>
      <vt:variant>
        <vt:lpwstr>https://doi.org/10.1016/j.jhazmat.2024.134072</vt:lpwstr>
      </vt:variant>
      <vt:variant>
        <vt:lpwstr/>
      </vt:variant>
      <vt:variant>
        <vt:i4>5767170</vt:i4>
      </vt:variant>
      <vt:variant>
        <vt:i4>90</vt:i4>
      </vt:variant>
      <vt:variant>
        <vt:i4>0</vt:i4>
      </vt:variant>
      <vt:variant>
        <vt:i4>5</vt:i4>
      </vt:variant>
      <vt:variant>
        <vt:lpwstr>https://doi.org/10.1016/j.net.2022.10.028</vt:lpwstr>
      </vt:variant>
      <vt:variant>
        <vt:lpwstr/>
      </vt:variant>
      <vt:variant>
        <vt:i4>5046287</vt:i4>
      </vt:variant>
      <vt:variant>
        <vt:i4>87</vt:i4>
      </vt:variant>
      <vt:variant>
        <vt:i4>0</vt:i4>
      </vt:variant>
      <vt:variant>
        <vt:i4>5</vt:i4>
      </vt:variant>
      <vt:variant>
        <vt:lpwstr>https://doi.org/10.1016/j.anucene.2022.109366</vt:lpwstr>
      </vt:variant>
      <vt:variant>
        <vt:lpwstr/>
      </vt:variant>
      <vt:variant>
        <vt:i4>3473519</vt:i4>
      </vt:variant>
      <vt:variant>
        <vt:i4>84</vt:i4>
      </vt:variant>
      <vt:variant>
        <vt:i4>0</vt:i4>
      </vt:variant>
      <vt:variant>
        <vt:i4>5</vt:i4>
      </vt:variant>
      <vt:variant>
        <vt:lpwstr>https://doi.org/10.1016/j.nucengdes.2021.111242</vt:lpwstr>
      </vt:variant>
      <vt:variant>
        <vt:lpwstr/>
      </vt:variant>
      <vt:variant>
        <vt:i4>4718593</vt:i4>
      </vt:variant>
      <vt:variant>
        <vt:i4>81</vt:i4>
      </vt:variant>
      <vt:variant>
        <vt:i4>0</vt:i4>
      </vt:variant>
      <vt:variant>
        <vt:i4>5</vt:i4>
      </vt:variant>
      <vt:variant>
        <vt:lpwstr>https://doi.org/10.1016/j.jenvrad.2017.08.011</vt:lpwstr>
      </vt:variant>
      <vt:variant>
        <vt:lpwstr/>
      </vt:variant>
      <vt:variant>
        <vt:i4>6094857</vt:i4>
      </vt:variant>
      <vt:variant>
        <vt:i4>78</vt:i4>
      </vt:variant>
      <vt:variant>
        <vt:i4>0</vt:i4>
      </vt:variant>
      <vt:variant>
        <vt:i4>5</vt:i4>
      </vt:variant>
      <vt:variant>
        <vt:lpwstr>https://doi.org/10.1016/j.anucene.2017.06.056</vt:lpwstr>
      </vt:variant>
      <vt:variant>
        <vt:lpwstr/>
      </vt:variant>
      <vt:variant>
        <vt:i4>7405598</vt:i4>
      </vt:variant>
      <vt:variant>
        <vt:i4>0</vt:i4>
      </vt:variant>
      <vt:variant>
        <vt:i4>0</vt:i4>
      </vt:variant>
      <vt:variant>
        <vt:i4>5</vt:i4>
      </vt:variant>
      <vt:variant>
        <vt:lpwstr>mailto:jypark@unist.ac.kr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2025-02-21T07:26:00Z</dcterms:created>
  <dcterms:modified xsi:type="dcterms:W3CDTF">2025-02-24T04:01:00Z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9e82e7f4eda4e5958a42d658f839f20ef2c9cf2e482d37a69737e539dbbb7e4b</vt:lpwstr>
  </property>
</Properties>
</file>